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Lines="50" w:afterLines="50" w:line="360" w:lineRule="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招标文件中“评标信息”更正如下：</w:t>
      </w:r>
    </w:p>
    <w:p>
      <w:pPr>
        <w:snapToGrid w:val="0"/>
        <w:spacing w:afterLines="0" w:line="460" w:lineRule="exact"/>
        <w:rPr>
          <w:rStyle w:val="38"/>
          <w:rFonts w:hint="default" w:eastAsia="宋体" w:cs="宋体"/>
          <w:b w:val="0"/>
          <w:color w:val="auto"/>
          <w:sz w:val="21"/>
          <w:szCs w:val="21"/>
          <w:highlight w:val="none"/>
        </w:rPr>
      </w:pPr>
      <w:r>
        <w:rPr>
          <w:rStyle w:val="38"/>
          <w:rFonts w:hint="default" w:eastAsia="宋体" w:cs="宋体"/>
          <w:b w:val="0"/>
          <w:color w:val="auto"/>
          <w:sz w:val="21"/>
          <w:szCs w:val="21"/>
          <w:highlight w:val="none"/>
        </w:rPr>
        <w:t xml:space="preserve">评标方法：综合评分法 </w:t>
      </w:r>
    </w:p>
    <w:p>
      <w:pPr>
        <w:spacing w:afterLines="0" w:line="460" w:lineRule="exact"/>
        <w:ind w:firstLine="420" w:firstLineChars="200"/>
        <w:rPr>
          <w:rStyle w:val="38"/>
          <w:rFonts w:hint="default" w:eastAsia="宋体" w:cs="宋体"/>
          <w:b w:val="0"/>
          <w:color w:val="auto"/>
          <w:sz w:val="21"/>
          <w:szCs w:val="21"/>
          <w:highlight w:val="none"/>
        </w:rPr>
      </w:pPr>
      <w:r>
        <w:rPr>
          <w:rStyle w:val="38"/>
          <w:rFonts w:hint="default" w:eastAsia="宋体" w:cs="宋体"/>
          <w:b w:val="0"/>
          <w:color w:val="auto"/>
          <w:sz w:val="21"/>
          <w:szCs w:val="21"/>
          <w:highlight w:val="none"/>
        </w:rPr>
        <w:t>综合评分法，是指投标文件满足招标文件全部实质性要求，且按照评审因素的量化指标评审得分最高的投标人为中标候选人的评标方法。</w:t>
      </w:r>
    </w:p>
    <w:p>
      <w:pPr>
        <w:spacing w:afterLines="0" w:line="460" w:lineRule="exact"/>
        <w:ind w:firstLine="420" w:firstLineChars="200"/>
        <w:rPr>
          <w:rStyle w:val="38"/>
          <w:rFonts w:hint="default" w:eastAsia="宋体" w:cs="宋体"/>
          <w:b w:val="0"/>
          <w:color w:val="auto"/>
          <w:sz w:val="21"/>
          <w:szCs w:val="21"/>
          <w:highlight w:val="none"/>
        </w:rPr>
      </w:pPr>
      <w:r>
        <w:rPr>
          <w:rStyle w:val="38"/>
          <w:rFonts w:hint="default" w:eastAsia="宋体" w:cs="宋体"/>
          <w:b w:val="0"/>
          <w:color w:val="auto"/>
          <w:sz w:val="21"/>
          <w:szCs w:val="21"/>
          <w:highlight w:val="none"/>
        </w:rPr>
        <w:t>价格分计算方法：</w:t>
      </w:r>
    </w:p>
    <w:p>
      <w:pPr>
        <w:spacing w:afterLines="0" w:line="460" w:lineRule="exact"/>
        <w:ind w:firstLine="420" w:firstLineChars="200"/>
        <w:rPr>
          <w:rStyle w:val="38"/>
          <w:rFonts w:hint="default" w:eastAsia="宋体" w:cs="宋体"/>
          <w:b w:val="0"/>
          <w:color w:val="auto"/>
          <w:sz w:val="21"/>
          <w:szCs w:val="21"/>
          <w:highlight w:val="none"/>
        </w:rPr>
      </w:pPr>
      <w:r>
        <w:rPr>
          <w:rStyle w:val="38"/>
          <w:rFonts w:hint="default" w:eastAsia="宋体" w:cs="宋体"/>
          <w:b w:val="0"/>
          <w:color w:val="auto"/>
          <w:sz w:val="21"/>
          <w:szCs w:val="21"/>
          <w:highlight w:val="none"/>
        </w:rPr>
        <w:t>价格分应当采用低价优先法计算，即满足招标文件要求且投标价格最低的投标报价为评标基准价，其价格分为满分。其他投标人的价格分统一按照下列公式计算：</w:t>
      </w:r>
    </w:p>
    <w:p>
      <w:pPr>
        <w:spacing w:afterLines="0" w:line="460" w:lineRule="exact"/>
        <w:ind w:firstLine="420" w:firstLineChars="200"/>
        <w:rPr>
          <w:rStyle w:val="38"/>
          <w:rFonts w:hint="default" w:eastAsia="宋体" w:cs="宋体"/>
          <w:b w:val="0"/>
          <w:color w:val="auto"/>
          <w:sz w:val="21"/>
          <w:szCs w:val="21"/>
          <w:highlight w:val="none"/>
          <w:lang w:val="en-US"/>
        </w:rPr>
      </w:pPr>
      <w:r>
        <w:rPr>
          <w:rStyle w:val="38"/>
          <w:rFonts w:hint="default" w:eastAsia="宋体" w:cs="宋体"/>
          <w:b w:val="0"/>
          <w:color w:val="auto"/>
          <w:sz w:val="21"/>
          <w:szCs w:val="21"/>
          <w:highlight w:val="none"/>
        </w:rPr>
        <w:t>投标报价得分=(评标基准价／投标报价)×100×权重</w:t>
      </w:r>
    </w:p>
    <w:p>
      <w:pPr>
        <w:numPr>
          <w:numId w:val="0"/>
        </w:numPr>
        <w:spacing w:beforeLines="50" w:afterLines="50" w:line="360" w:lineRule="auto"/>
        <w:rPr>
          <w:rFonts w:hint="default" w:asciiTheme="minorEastAsia" w:hAnsiTheme="minorEastAsia" w:eastAsiaTheme="minorEastAsia"/>
          <w:b/>
          <w:bCs/>
          <w:szCs w:val="21"/>
          <w:lang w:val="en-US" w:eastAsia="zh-CN"/>
        </w:rPr>
      </w:pPr>
      <w:r>
        <w:rPr>
          <w:rStyle w:val="38"/>
          <w:rFonts w:eastAsia="宋体" w:cs="宋体"/>
          <w:bCs w:val="0"/>
          <w:color w:val="auto"/>
          <w:sz w:val="21"/>
          <w:szCs w:val="21"/>
          <w:highlight w:val="none"/>
        </w:rPr>
        <w:t>注：</w:t>
      </w:r>
      <w:r>
        <w:rPr>
          <w:rStyle w:val="38"/>
          <w:rFonts w:hint="default" w:eastAsia="宋体" w:cs="宋体"/>
          <w:bCs w:val="0"/>
          <w:color w:val="auto"/>
          <w:sz w:val="21"/>
          <w:szCs w:val="21"/>
          <w:highlight w:val="none"/>
        </w:rPr>
        <w:t>所提供的服务满足《政府采购促进中小企业发展暂行办法》（财库[2011]181号）的规定的，享有</w:t>
      </w:r>
      <w:r>
        <w:rPr>
          <w:rStyle w:val="38"/>
          <w:rFonts w:hint="eastAsia" w:eastAsia="宋体" w:cs="宋体"/>
          <w:bCs w:val="0"/>
          <w:color w:val="auto"/>
          <w:sz w:val="21"/>
          <w:szCs w:val="21"/>
          <w:highlight w:val="none"/>
          <w:lang w:val="en-US"/>
        </w:rPr>
        <w:t>6</w:t>
      </w:r>
      <w:r>
        <w:rPr>
          <w:rStyle w:val="38"/>
          <w:rFonts w:hint="default" w:eastAsia="宋体" w:cs="宋体"/>
          <w:color w:val="auto"/>
          <w:sz w:val="21"/>
          <w:szCs w:val="21"/>
          <w:highlight w:val="none"/>
        </w:rPr>
        <w:t>%</w:t>
      </w:r>
      <w:r>
        <w:rPr>
          <w:rStyle w:val="38"/>
          <w:rFonts w:hint="default" w:eastAsia="宋体" w:cs="宋体"/>
          <w:bCs w:val="0"/>
          <w:color w:val="auto"/>
          <w:sz w:val="21"/>
          <w:szCs w:val="21"/>
          <w:highlight w:val="none"/>
        </w:rPr>
        <w:t>的价格折扣。</w:t>
      </w:r>
      <w:r>
        <w:rPr>
          <w:rStyle w:val="38"/>
          <w:rFonts w:hint="eastAsia" w:eastAsia="宋体" w:cs="宋体"/>
          <w:b/>
          <w:bCs/>
          <w:color w:val="auto"/>
          <w:sz w:val="21"/>
          <w:szCs w:val="21"/>
          <w:highlight w:val="none"/>
          <w:lang w:eastAsia="zh-CN"/>
        </w:rPr>
        <w:t>投标报价</w:t>
      </w:r>
      <w:r>
        <w:rPr>
          <w:rStyle w:val="38"/>
          <w:rFonts w:hint="eastAsia" w:eastAsia="宋体" w:cs="宋体"/>
          <w:b/>
          <w:bCs/>
          <w:color w:val="auto"/>
          <w:sz w:val="21"/>
          <w:szCs w:val="21"/>
          <w:highlight w:val="none"/>
          <w:lang w:val="en-US" w:eastAsia="zh-CN"/>
        </w:rPr>
        <w:t>=1-下浮率</w:t>
      </w:r>
    </w:p>
    <w:tbl>
      <w:tblPr>
        <w:tblStyle w:val="29"/>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704"/>
        <w:gridCol w:w="609"/>
        <w:gridCol w:w="478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06" w:type="dxa"/>
            <w:gridSpan w:val="4"/>
            <w:vAlign w:val="center"/>
          </w:tcPr>
          <w:p>
            <w:pPr>
              <w:autoSpaceDE w:val="0"/>
              <w:autoSpaceDN w:val="0"/>
              <w:adjustRightInd w:val="0"/>
              <w:spacing w:line="360" w:lineRule="auto"/>
              <w:jc w:val="center"/>
              <w:rPr>
                <w:rFonts w:asciiTheme="minorEastAsia" w:hAnsiTheme="minorEastAsia" w:eastAsiaTheme="minorEastAsia"/>
                <w:b/>
                <w:szCs w:val="21"/>
                <w:lang w:val="zh-CN"/>
              </w:rPr>
            </w:pPr>
            <w:bookmarkStart w:id="26" w:name="_GoBack"/>
            <w:r>
              <w:rPr>
                <w:rFonts w:hint="eastAsia" w:asciiTheme="minorEastAsia" w:hAnsiTheme="minorEastAsia" w:eastAsiaTheme="minorEastAsia"/>
                <w:b/>
                <w:szCs w:val="21"/>
                <w:lang w:val="zh-CN"/>
              </w:rPr>
              <w:t>评分项及评分规则</w:t>
            </w:r>
          </w:p>
        </w:tc>
        <w:tc>
          <w:tcPr>
            <w:tcW w:w="1559" w:type="dxa"/>
            <w:vAlign w:val="center"/>
          </w:tcPr>
          <w:p>
            <w:pPr>
              <w:autoSpaceDE w:val="0"/>
              <w:autoSpaceDN w:val="0"/>
              <w:adjustRightIn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06" w:type="dxa"/>
            <w:gridSpan w:val="4"/>
            <w:vAlign w:val="center"/>
          </w:tcPr>
          <w:p>
            <w:pPr>
              <w:autoSpaceDE w:val="0"/>
              <w:autoSpaceDN w:val="0"/>
              <w:adjustRightIn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一、价格部分</w:t>
            </w:r>
          </w:p>
        </w:tc>
        <w:tc>
          <w:tcPr>
            <w:tcW w:w="1559" w:type="dxa"/>
            <w:vAlign w:val="center"/>
          </w:tcPr>
          <w:p>
            <w:pPr>
              <w:autoSpaceDE w:val="0"/>
              <w:autoSpaceDN w:val="0"/>
              <w:adjustRightInd w:val="0"/>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7706" w:type="dxa"/>
            <w:gridSpan w:val="4"/>
            <w:vAlign w:val="center"/>
          </w:tcPr>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价格分</w:t>
            </w:r>
            <w:r>
              <w:rPr>
                <w:rFonts w:hint="eastAsia" w:asciiTheme="minorEastAsia" w:hAnsiTheme="minorEastAsia" w:eastAsiaTheme="minorEastAsia"/>
                <w:szCs w:val="21"/>
              </w:rPr>
              <w:t>应当采用低价优先法计算，即满足招标文件要求且投标价格最低的投标报价为评标基准价，其价格分为满分。其他投标人的价格分统一按照下列公式计算：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投标报价得分=(评标基准价／投标报价)×100×权重</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评分方式</w:t>
            </w:r>
          </w:p>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06" w:type="dxa"/>
            <w:gridSpan w:val="4"/>
            <w:vAlign w:val="center"/>
          </w:tcPr>
          <w:p>
            <w:pPr>
              <w:autoSpaceDE w:val="0"/>
              <w:autoSpaceDN w:val="0"/>
              <w:adjustRightIn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lang w:val="zh-CN"/>
              </w:rPr>
              <w:t>二、技术部分</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序号</w:t>
            </w:r>
          </w:p>
        </w:tc>
        <w:tc>
          <w:tcPr>
            <w:tcW w:w="1704"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内容</w:t>
            </w:r>
          </w:p>
        </w:tc>
        <w:tc>
          <w:tcPr>
            <w:tcW w:w="60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权重</w:t>
            </w:r>
          </w:p>
        </w:tc>
        <w:tc>
          <w:tcPr>
            <w:tcW w:w="4782"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评分规则</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2"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asciiTheme="minorEastAsia" w:hAnsiTheme="minorEastAsia" w:eastAsiaTheme="minorEastAsia"/>
                <w:szCs w:val="21"/>
                <w:lang w:val="zh-CN"/>
              </w:rPr>
              <w:t>1</w:t>
            </w:r>
          </w:p>
        </w:tc>
        <w:tc>
          <w:tcPr>
            <w:tcW w:w="1704" w:type="dxa"/>
            <w:vAlign w:val="center"/>
          </w:tcPr>
          <w:p>
            <w:pPr>
              <w:spacing w:line="360" w:lineRule="auto"/>
              <w:jc w:val="center"/>
              <w:rPr>
                <w:rFonts w:ascii="宋体" w:hAnsi="宋体" w:cs="宋体"/>
                <w:szCs w:val="21"/>
              </w:rPr>
            </w:pPr>
            <w:r>
              <w:rPr>
                <w:rFonts w:hint="eastAsia" w:ascii="宋体" w:hAnsi="宋体" w:cs="宋体"/>
                <w:szCs w:val="21"/>
              </w:rPr>
              <w:t>质量保证方案</w:t>
            </w:r>
          </w:p>
        </w:tc>
        <w:tc>
          <w:tcPr>
            <w:tcW w:w="609"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0</w:t>
            </w:r>
          </w:p>
        </w:tc>
        <w:tc>
          <w:tcPr>
            <w:tcW w:w="4782" w:type="dxa"/>
          </w:tcPr>
          <w:p>
            <w:pPr>
              <w:spacing w:line="240" w:lineRule="atLeast"/>
              <w:jc w:val="left"/>
            </w:pPr>
            <w:r>
              <w:rPr>
                <w:rFonts w:hint="eastAsia"/>
              </w:rPr>
              <w:t>根据本项目质量保证的各方面方案进行评价，包括</w:t>
            </w:r>
            <w:r>
              <w:rPr>
                <w:rFonts w:hint="eastAsia" w:ascii="宋体" w:hAnsi="宋体" w:cs="宋体"/>
                <w:color w:val="000000" w:themeColor="text1"/>
                <w:szCs w:val="21"/>
                <w14:textFill>
                  <w14:solidFill>
                    <w14:schemeClr w14:val="tx1"/>
                  </w14:solidFill>
                </w14:textFill>
              </w:rPr>
              <w:t>食品安全保障制度、人员岗位职责、操作规程、劳动纪律和奖惩办法、客户投诉反馈管理制度、质量追溯方案、规章制度</w:t>
            </w:r>
            <w:r>
              <w:rPr>
                <w:rFonts w:hint="eastAsia"/>
              </w:rPr>
              <w:t>。</w:t>
            </w:r>
          </w:p>
          <w:p>
            <w:pPr>
              <w:widowControl/>
              <w:wordWrap w:val="0"/>
              <w:jc w:val="left"/>
              <w:textAlignment w:val="top"/>
              <w:rPr>
                <w:rFonts w:ascii="宋体" w:hAnsi="宋体" w:cs="宋体"/>
                <w:b/>
                <w:bCs/>
                <w:kern w:val="0"/>
                <w:szCs w:val="21"/>
              </w:rPr>
            </w:pPr>
            <w:r>
              <w:rPr>
                <w:rFonts w:hint="eastAsia" w:ascii="宋体" w:hAnsi="宋体" w:cs="宋体"/>
                <w:b/>
                <w:bCs/>
                <w:kern w:val="0"/>
                <w:szCs w:val="21"/>
              </w:rPr>
              <w:t>评分标准：</w:t>
            </w:r>
          </w:p>
          <w:p>
            <w:pPr>
              <w:widowControl/>
              <w:wordWrap w:val="0"/>
              <w:jc w:val="left"/>
              <w:textAlignment w:val="top"/>
              <w:rPr>
                <w:rFonts w:ascii="宋体" w:hAnsi="宋体" w:cs="宋体"/>
                <w:kern w:val="0"/>
                <w:szCs w:val="21"/>
              </w:rPr>
            </w:pPr>
            <w:r>
              <w:rPr>
                <w:rFonts w:hint="eastAsia" w:ascii="宋体" w:hAnsi="宋体" w:cs="宋体"/>
                <w:kern w:val="0"/>
                <w:szCs w:val="21"/>
              </w:rPr>
              <w:t>(1)投标文件响应内容全面；</w:t>
            </w:r>
          </w:p>
          <w:p>
            <w:pPr>
              <w:widowControl/>
              <w:wordWrap w:val="0"/>
              <w:jc w:val="left"/>
              <w:textAlignment w:val="top"/>
              <w:rPr>
                <w:rFonts w:ascii="宋体" w:hAnsi="宋体" w:cs="宋体"/>
                <w:kern w:val="0"/>
                <w:szCs w:val="21"/>
              </w:rPr>
            </w:pPr>
            <w:r>
              <w:rPr>
                <w:rFonts w:hint="eastAsia" w:ascii="宋体" w:hAnsi="宋体" w:cs="宋体"/>
                <w:kern w:val="0"/>
                <w:szCs w:val="21"/>
              </w:rPr>
              <w:t>(2)投标文件响应内容具体；</w:t>
            </w:r>
          </w:p>
          <w:p>
            <w:pPr>
              <w:widowControl/>
              <w:wordWrap w:val="0"/>
              <w:jc w:val="left"/>
              <w:textAlignment w:val="top"/>
              <w:rPr>
                <w:rFonts w:ascii="宋体" w:hAnsi="宋体" w:cs="宋体"/>
                <w:kern w:val="0"/>
                <w:szCs w:val="21"/>
              </w:rPr>
            </w:pPr>
            <w:r>
              <w:rPr>
                <w:rFonts w:hint="eastAsia" w:ascii="宋体" w:hAnsi="宋体" w:cs="宋体"/>
                <w:kern w:val="0"/>
                <w:szCs w:val="21"/>
              </w:rPr>
              <w:t>(3)投标文件响应内容针对性强：</w:t>
            </w:r>
          </w:p>
          <w:p>
            <w:pPr>
              <w:widowControl/>
              <w:wordWrap w:val="0"/>
              <w:jc w:val="left"/>
              <w:textAlignment w:val="top"/>
              <w:rPr>
                <w:rFonts w:ascii="宋体" w:hAnsi="宋体" w:cs="宋体"/>
                <w:kern w:val="0"/>
                <w:szCs w:val="21"/>
              </w:rPr>
            </w:pPr>
            <w:r>
              <w:rPr>
                <w:rFonts w:hint="eastAsia" w:ascii="宋体" w:hAnsi="宋体" w:cs="宋体"/>
                <w:kern w:val="0"/>
                <w:szCs w:val="21"/>
              </w:rPr>
              <w:t>(4)投标文件响应内容科学合理；</w:t>
            </w:r>
          </w:p>
          <w:p>
            <w:pPr>
              <w:widowControl/>
              <w:wordWrap w:val="0"/>
              <w:jc w:val="left"/>
              <w:textAlignment w:val="top"/>
              <w:rPr>
                <w:rFonts w:ascii="宋体" w:hAnsi="宋体" w:cs="宋体"/>
                <w:kern w:val="0"/>
                <w:szCs w:val="21"/>
              </w:rPr>
            </w:pPr>
            <w:r>
              <w:rPr>
                <w:rFonts w:hint="eastAsia" w:ascii="宋体" w:hAnsi="宋体" w:cs="宋体"/>
                <w:kern w:val="0"/>
                <w:szCs w:val="21"/>
              </w:rPr>
              <w:t>(5)投标文件响应内容可操作性强。</w:t>
            </w:r>
          </w:p>
          <w:p>
            <w:pPr>
              <w:spacing w:line="360" w:lineRule="auto"/>
              <w:rPr>
                <w:rFonts w:asciiTheme="minorEastAsia" w:hAnsiTheme="minorEastAsia" w:eastAsiaTheme="minorEastAsia"/>
                <w:szCs w:val="21"/>
              </w:rPr>
            </w:pPr>
            <w:r>
              <w:rPr>
                <w:rFonts w:hint="eastAsia" w:ascii="宋体" w:hAnsi="宋体" w:cs="宋体"/>
                <w:kern w:val="0"/>
                <w:szCs w:val="21"/>
              </w:rPr>
              <w:t>满足以上五项要求的评价为优得2</w:t>
            </w:r>
            <w:r>
              <w:rPr>
                <w:rFonts w:hint="eastAsia" w:ascii="宋体" w:hAnsi="宋体" w:cs="宋体"/>
                <w:kern w:val="0"/>
                <w:szCs w:val="21"/>
                <w:lang w:val="en-US" w:eastAsia="zh-CN"/>
              </w:rPr>
              <w:t>0</w:t>
            </w:r>
            <w:r>
              <w:rPr>
                <w:rFonts w:hint="eastAsia" w:ascii="宋体" w:hAnsi="宋体" w:cs="宋体"/>
                <w:kern w:val="0"/>
                <w:szCs w:val="21"/>
              </w:rPr>
              <w:t>分：满足以上四项要求的评价为良得1</w:t>
            </w:r>
            <w:r>
              <w:rPr>
                <w:rFonts w:hint="eastAsia" w:ascii="宋体" w:hAnsi="宋体" w:cs="宋体"/>
                <w:kern w:val="0"/>
                <w:szCs w:val="21"/>
                <w:lang w:val="en-US" w:eastAsia="zh-CN"/>
              </w:rPr>
              <w:t>6</w:t>
            </w:r>
            <w:r>
              <w:rPr>
                <w:rFonts w:hint="eastAsia" w:ascii="宋体" w:hAnsi="宋体" w:cs="宋体"/>
                <w:kern w:val="0"/>
                <w:szCs w:val="21"/>
              </w:rPr>
              <w:t>分：满足以上三项要求的评价为中得</w:t>
            </w:r>
            <w:r>
              <w:rPr>
                <w:rFonts w:hint="eastAsia" w:ascii="宋体" w:hAnsi="宋体" w:cs="宋体"/>
                <w:kern w:val="0"/>
                <w:szCs w:val="21"/>
                <w:lang w:val="en-US" w:eastAsia="zh-CN"/>
              </w:rPr>
              <w:t>10</w:t>
            </w:r>
            <w:r>
              <w:rPr>
                <w:rFonts w:hint="eastAsia" w:ascii="宋体" w:hAnsi="宋体" w:cs="宋体"/>
                <w:kern w:val="0"/>
                <w:szCs w:val="21"/>
              </w:rPr>
              <w:t>分；满足以上两项要求的评价为合格得</w:t>
            </w:r>
            <w:r>
              <w:rPr>
                <w:rFonts w:hint="eastAsia" w:ascii="宋体" w:hAnsi="宋体" w:cs="宋体"/>
                <w:kern w:val="0"/>
                <w:szCs w:val="21"/>
                <w:lang w:val="en-US" w:eastAsia="zh-CN"/>
              </w:rPr>
              <w:t>6</w:t>
            </w:r>
            <w:r>
              <w:rPr>
                <w:rFonts w:hint="eastAsia" w:ascii="宋体" w:hAnsi="宋体" w:cs="宋体"/>
                <w:kern w:val="0"/>
                <w:szCs w:val="21"/>
              </w:rPr>
              <w:t>分：满足以上一项及完全不满足的评价为差得0分</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p>
        </w:tc>
        <w:tc>
          <w:tcPr>
            <w:tcW w:w="1704" w:type="dxa"/>
            <w:vAlign w:val="center"/>
          </w:tcPr>
          <w:p>
            <w:pPr>
              <w:spacing w:line="360" w:lineRule="auto"/>
              <w:jc w:val="center"/>
              <w:rPr>
                <w:rFonts w:ascii="宋体" w:hAnsi="宋体" w:cs="宋体"/>
                <w:szCs w:val="21"/>
              </w:rPr>
            </w:pPr>
            <w:r>
              <w:rPr>
                <w:rFonts w:hint="eastAsia" w:asciiTheme="minorEastAsia" w:hAnsiTheme="minorEastAsia"/>
                <w:szCs w:val="21"/>
              </w:rPr>
              <w:t>应急响应时间</w:t>
            </w:r>
          </w:p>
        </w:tc>
        <w:tc>
          <w:tcPr>
            <w:tcW w:w="609" w:type="dxa"/>
            <w:vAlign w:val="center"/>
          </w:tcPr>
          <w:p>
            <w:pPr>
              <w:spacing w:line="360" w:lineRule="auto"/>
              <w:jc w:val="center"/>
              <w:rPr>
                <w:rFonts w:ascii="宋体" w:hAnsi="宋体" w:cs="宋体"/>
                <w:szCs w:val="21"/>
              </w:rPr>
            </w:pPr>
            <w:r>
              <w:rPr>
                <w:rFonts w:ascii="宋体" w:hAnsi="宋体" w:cs="宋体"/>
                <w:szCs w:val="21"/>
              </w:rPr>
              <w:t>7</w:t>
            </w:r>
          </w:p>
        </w:tc>
        <w:tc>
          <w:tcPr>
            <w:tcW w:w="4782" w:type="dxa"/>
          </w:tcPr>
          <w:p>
            <w:pPr>
              <w:spacing w:line="360" w:lineRule="auto"/>
              <w:rPr>
                <w:rFonts w:asciiTheme="minorEastAsia" w:hAnsiTheme="minorEastAsia"/>
                <w:szCs w:val="21"/>
              </w:rPr>
            </w:pPr>
            <w:r>
              <w:rPr>
                <w:rFonts w:hint="eastAsia" w:asciiTheme="minorEastAsia" w:hAnsiTheme="minorEastAsia"/>
                <w:szCs w:val="21"/>
              </w:rPr>
              <w:t>投标人承诺：“如遇采购方临时紧急用餐需求或投标人所提供的肉菜质量不符要求需退换货时，在得到采购方通知后30分钟内响应，1个小时内送到的得</w:t>
            </w:r>
            <w:r>
              <w:rPr>
                <w:rFonts w:asciiTheme="minorEastAsia" w:hAnsiTheme="minorEastAsia"/>
                <w:szCs w:val="21"/>
              </w:rPr>
              <w:t>7</w:t>
            </w:r>
            <w:r>
              <w:rPr>
                <w:rFonts w:hint="eastAsia" w:asciiTheme="minorEastAsia" w:hAnsiTheme="minorEastAsia"/>
                <w:szCs w:val="21"/>
              </w:rPr>
              <w:t>分，1-2个小时内送到的得</w:t>
            </w:r>
            <w:r>
              <w:rPr>
                <w:rFonts w:asciiTheme="minorEastAsia" w:hAnsiTheme="minorEastAsia"/>
                <w:szCs w:val="21"/>
              </w:rPr>
              <w:t>3</w:t>
            </w:r>
            <w:r>
              <w:rPr>
                <w:rFonts w:hint="eastAsia" w:asciiTheme="minorEastAsia" w:hAnsiTheme="minorEastAsia"/>
                <w:szCs w:val="21"/>
              </w:rPr>
              <w:t>分，其他不得分。”提供《承诺函》，格式自拟。未提供《承诺函》或承诺内容不完整或不满足要求均作不得分处理。</w:t>
            </w:r>
          </w:p>
          <w:p>
            <w:pPr>
              <w:spacing w:line="240" w:lineRule="atLeast"/>
              <w:jc w:val="left"/>
            </w:pPr>
            <w:r>
              <w:rPr>
                <w:rFonts w:hint="eastAsia" w:asciiTheme="minorEastAsia" w:hAnsiTheme="minorEastAsia"/>
                <w:szCs w:val="21"/>
              </w:rPr>
              <w:t>证明文件：投标人须提供《承诺函》（格式自拟）并加盖投标单位公章。</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3</w:t>
            </w:r>
          </w:p>
        </w:tc>
        <w:tc>
          <w:tcPr>
            <w:tcW w:w="1704" w:type="dxa"/>
            <w:vAlign w:val="center"/>
          </w:tcPr>
          <w:p>
            <w:pPr>
              <w:spacing w:line="360" w:lineRule="auto"/>
              <w:jc w:val="center"/>
              <w:rPr>
                <w:rFonts w:ascii="宋体" w:hAnsi="宋体" w:cs="宋体"/>
                <w:szCs w:val="21"/>
              </w:rPr>
            </w:pPr>
            <w:r>
              <w:rPr>
                <w:rFonts w:hint="eastAsia" w:asciiTheme="minorEastAsia" w:hAnsiTheme="minorEastAsia"/>
                <w:szCs w:val="21"/>
              </w:rPr>
              <w:t>食品质量安全承诺</w:t>
            </w:r>
          </w:p>
        </w:tc>
        <w:tc>
          <w:tcPr>
            <w:tcW w:w="609" w:type="dxa"/>
            <w:vAlign w:val="center"/>
          </w:tcPr>
          <w:p>
            <w:pPr>
              <w:spacing w:line="360" w:lineRule="auto"/>
              <w:jc w:val="center"/>
              <w:rPr>
                <w:rFonts w:ascii="宋体" w:hAnsi="宋体" w:cs="宋体"/>
                <w:szCs w:val="21"/>
              </w:rPr>
            </w:pPr>
            <w:r>
              <w:rPr>
                <w:rFonts w:hint="eastAsia" w:ascii="宋体" w:hAnsi="宋体" w:cs="宋体"/>
                <w:szCs w:val="21"/>
              </w:rPr>
              <w:t>5</w:t>
            </w:r>
          </w:p>
        </w:tc>
        <w:tc>
          <w:tcPr>
            <w:tcW w:w="4782" w:type="dxa"/>
          </w:tcPr>
          <w:p>
            <w:pPr>
              <w:spacing w:line="360" w:lineRule="auto"/>
              <w:rPr>
                <w:rFonts w:asciiTheme="minorEastAsia" w:hAnsiTheme="minorEastAsia"/>
                <w:szCs w:val="21"/>
              </w:rPr>
            </w:pPr>
            <w:r>
              <w:rPr>
                <w:rFonts w:hint="eastAsia" w:asciiTheme="minorEastAsia" w:hAnsiTheme="minorEastAsia"/>
                <w:szCs w:val="21"/>
              </w:rPr>
              <w:t>投标人须提供《食品质量安全承诺书》，并在承诺书中明确“在实际履约过程中如出现违反承诺的，采购单位可直接终止合作”。满足要求的得5分，未提供《食品质量安全承诺书》或承诺内容不满足要求均作不得分处理。</w:t>
            </w:r>
          </w:p>
          <w:p>
            <w:pPr>
              <w:spacing w:line="240" w:lineRule="atLeast"/>
              <w:jc w:val="left"/>
            </w:pPr>
            <w:r>
              <w:rPr>
                <w:rFonts w:hint="eastAsia" w:asciiTheme="minorEastAsia" w:hAnsiTheme="minorEastAsia"/>
                <w:szCs w:val="21"/>
              </w:rPr>
              <w:t>证明文件：提供《食品安全承诺书》并加盖投标人公章。</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1" w:type="dxa"/>
            <w:vAlign w:val="center"/>
          </w:tcPr>
          <w:p>
            <w:pPr>
              <w:autoSpaceDE w:val="0"/>
              <w:autoSpaceDN w:val="0"/>
              <w:adjustRightInd w:val="0"/>
              <w:spacing w:line="360" w:lineRule="auto"/>
              <w:jc w:val="center"/>
              <w:rPr>
                <w:rFonts w:hint="eastAsia" w:asciiTheme="minorEastAsia" w:hAnsiTheme="minorEastAsia" w:eastAsiaTheme="minorEastAsia"/>
                <w:szCs w:val="21"/>
                <w:lang w:val="zh-CN" w:eastAsia="zh-CN"/>
              </w:rPr>
            </w:pPr>
            <w:r>
              <w:rPr>
                <w:rFonts w:hint="eastAsia" w:asciiTheme="minorEastAsia" w:hAnsiTheme="minorEastAsia" w:eastAsiaTheme="minorEastAsia"/>
                <w:szCs w:val="21"/>
                <w:lang w:val="en-US" w:eastAsia="zh-CN"/>
              </w:rPr>
              <w:t>4</w:t>
            </w:r>
          </w:p>
        </w:tc>
        <w:tc>
          <w:tcPr>
            <w:tcW w:w="1704" w:type="dxa"/>
            <w:vAlign w:val="center"/>
          </w:tcPr>
          <w:p>
            <w:pPr>
              <w:spacing w:line="360" w:lineRule="auto"/>
              <w:jc w:val="center"/>
              <w:rPr>
                <w:rFonts w:ascii="宋体" w:hAnsi="宋体" w:cs="宋体"/>
                <w:szCs w:val="21"/>
              </w:rPr>
            </w:pPr>
            <w:r>
              <w:rPr>
                <w:rFonts w:hint="eastAsia" w:asciiTheme="minorEastAsia" w:hAnsiTheme="minorEastAsia"/>
                <w:szCs w:val="21"/>
              </w:rPr>
              <w:t>配送服务方案</w:t>
            </w:r>
          </w:p>
        </w:tc>
        <w:tc>
          <w:tcPr>
            <w:tcW w:w="609"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8</w:t>
            </w:r>
          </w:p>
        </w:tc>
        <w:tc>
          <w:tcPr>
            <w:tcW w:w="4782" w:type="dxa"/>
          </w:tcPr>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根据本项目配送服务的各方面方案进行评价，包括货源、采购渠道、供货保障、品质监控、日常管理组织、应急预案、物流配送方案。</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评分标准：</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(1)投标文件响应内容全面；</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(2)投标文件响应内容具体；</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(3)投标文件响应内容针对性强：</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(4)投标文件响应内容科学合理；</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(5)投标文件响应内容可操作性强。</w:t>
            </w:r>
          </w:p>
          <w:p>
            <w:pPr>
              <w:pBdr>
                <w:bottom w:val="single" w:color="auto" w:sz="6" w:space="0"/>
              </w:pBdr>
              <w:spacing w:line="360" w:lineRule="auto"/>
              <w:rPr>
                <w:rFonts w:asciiTheme="minorEastAsia" w:hAnsiTheme="minorEastAsia"/>
                <w:szCs w:val="21"/>
              </w:rPr>
            </w:pPr>
            <w:r>
              <w:rPr>
                <w:rFonts w:hint="eastAsia" w:asciiTheme="minorEastAsia" w:hAnsiTheme="minorEastAsia"/>
                <w:szCs w:val="21"/>
              </w:rPr>
              <w:t>满足以上五项要求的评价为优得2</w:t>
            </w:r>
            <w:r>
              <w:rPr>
                <w:rFonts w:hint="eastAsia" w:asciiTheme="minorEastAsia" w:hAnsiTheme="minorEastAsia"/>
                <w:szCs w:val="21"/>
                <w:lang w:val="en-US" w:eastAsia="zh-CN"/>
              </w:rPr>
              <w:t>8</w:t>
            </w:r>
            <w:r>
              <w:rPr>
                <w:rFonts w:hint="eastAsia" w:asciiTheme="minorEastAsia" w:hAnsiTheme="minorEastAsia"/>
                <w:szCs w:val="21"/>
              </w:rPr>
              <w:t>分：满足以上四项要求的评价为良得1</w:t>
            </w:r>
            <w:r>
              <w:rPr>
                <w:rFonts w:hint="eastAsia" w:asciiTheme="minorEastAsia" w:hAnsiTheme="minorEastAsia"/>
                <w:szCs w:val="21"/>
                <w:lang w:val="en-US" w:eastAsia="zh-CN"/>
              </w:rPr>
              <w:t>6</w:t>
            </w:r>
            <w:r>
              <w:rPr>
                <w:rFonts w:hint="eastAsia" w:asciiTheme="minorEastAsia" w:hAnsiTheme="minorEastAsia"/>
                <w:szCs w:val="21"/>
              </w:rPr>
              <w:t>分：满足以上三项要求的评价为中得</w:t>
            </w:r>
            <w:r>
              <w:rPr>
                <w:rFonts w:hint="eastAsia" w:asciiTheme="minorEastAsia" w:hAnsiTheme="minorEastAsia"/>
                <w:szCs w:val="21"/>
                <w:lang w:val="en-US" w:eastAsia="zh-CN"/>
              </w:rPr>
              <w:t>10</w:t>
            </w:r>
            <w:r>
              <w:rPr>
                <w:rFonts w:hint="eastAsia" w:asciiTheme="minorEastAsia" w:hAnsiTheme="minorEastAsia"/>
                <w:szCs w:val="21"/>
              </w:rPr>
              <w:t>分；满足以上两项要求的评价为合格得</w:t>
            </w:r>
            <w:r>
              <w:rPr>
                <w:rFonts w:hint="eastAsia" w:asciiTheme="minorEastAsia" w:hAnsiTheme="minorEastAsia"/>
                <w:szCs w:val="21"/>
                <w:lang w:val="en-US" w:eastAsia="zh-CN"/>
              </w:rPr>
              <w:t>8</w:t>
            </w:r>
            <w:r>
              <w:rPr>
                <w:rFonts w:hint="eastAsia" w:asciiTheme="minorEastAsia" w:hAnsiTheme="minorEastAsia"/>
                <w:szCs w:val="21"/>
              </w:rPr>
              <w:t>分：满足以上一项及完全不满足的评价为差得0分。</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706" w:type="dxa"/>
            <w:gridSpan w:val="4"/>
            <w:vAlign w:val="center"/>
          </w:tcPr>
          <w:p>
            <w:pPr>
              <w:autoSpaceDE w:val="0"/>
              <w:autoSpaceDN w:val="0"/>
              <w:adjustRightInd w:val="0"/>
              <w:spacing w:line="360" w:lineRule="auto"/>
              <w:jc w:val="center"/>
              <w:rPr>
                <w:rFonts w:asciiTheme="minorEastAsia" w:hAnsiTheme="minorEastAsia" w:eastAsiaTheme="minorEastAsia"/>
                <w:b/>
                <w:szCs w:val="21"/>
                <w:lang w:val="zh-CN"/>
              </w:rPr>
            </w:pPr>
            <w:r>
              <w:rPr>
                <w:rFonts w:hint="eastAsia" w:asciiTheme="minorEastAsia" w:hAnsiTheme="minorEastAsia" w:eastAsiaTheme="minorEastAsia"/>
                <w:b/>
                <w:szCs w:val="21"/>
                <w:lang w:val="zh-CN"/>
              </w:rPr>
              <w:t>三、综合实力部分</w:t>
            </w:r>
          </w:p>
        </w:tc>
        <w:tc>
          <w:tcPr>
            <w:tcW w:w="1559" w:type="dxa"/>
            <w:vAlign w:val="center"/>
          </w:tcPr>
          <w:p>
            <w:pPr>
              <w:autoSpaceDE w:val="0"/>
              <w:autoSpaceDN w:val="0"/>
              <w:adjustRightInd w:val="0"/>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序号</w:t>
            </w:r>
          </w:p>
        </w:tc>
        <w:tc>
          <w:tcPr>
            <w:tcW w:w="1704"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内容</w:t>
            </w:r>
          </w:p>
        </w:tc>
        <w:tc>
          <w:tcPr>
            <w:tcW w:w="609" w:type="dxa"/>
            <w:vAlign w:val="center"/>
          </w:tcPr>
          <w:p>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val="zh-CN"/>
              </w:rPr>
              <w:t>权重</w:t>
            </w:r>
          </w:p>
        </w:tc>
        <w:tc>
          <w:tcPr>
            <w:tcW w:w="4782"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评分规则</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1</w:t>
            </w:r>
          </w:p>
        </w:tc>
        <w:tc>
          <w:tcPr>
            <w:tcW w:w="1704" w:type="dxa"/>
            <w:vAlign w:val="center"/>
          </w:tcPr>
          <w:p>
            <w:pPr>
              <w:spacing w:line="360" w:lineRule="auto"/>
              <w:jc w:val="center"/>
              <w:rPr>
                <w:color w:val="000000"/>
              </w:rPr>
            </w:pPr>
            <w:r>
              <w:rPr>
                <w:rFonts w:hint="eastAsia"/>
                <w:color w:val="000000"/>
              </w:rPr>
              <w:t>投标人业绩情况</w:t>
            </w:r>
          </w:p>
        </w:tc>
        <w:tc>
          <w:tcPr>
            <w:tcW w:w="609" w:type="dxa"/>
            <w:vAlign w:val="center"/>
          </w:tcPr>
          <w:p>
            <w:pPr>
              <w:spacing w:line="360" w:lineRule="auto"/>
              <w:jc w:val="center"/>
              <w:rPr>
                <w:color w:val="000000"/>
              </w:rPr>
            </w:pPr>
            <w:r>
              <w:rPr>
                <w:color w:val="000000"/>
              </w:rPr>
              <w:t>5</w:t>
            </w:r>
          </w:p>
        </w:tc>
        <w:tc>
          <w:tcPr>
            <w:tcW w:w="4782" w:type="dxa"/>
          </w:tcPr>
          <w:p>
            <w:pPr>
              <w:spacing w:line="360" w:lineRule="auto"/>
              <w:rPr>
                <w:color w:val="000000"/>
              </w:rPr>
            </w:pPr>
            <w:r>
              <w:rPr>
                <w:rFonts w:hint="eastAsia"/>
                <w:color w:val="000000"/>
              </w:rPr>
              <w:t>投标人201</w:t>
            </w:r>
            <w:r>
              <w:rPr>
                <w:color w:val="000000"/>
              </w:rPr>
              <w:t>5</w:t>
            </w:r>
            <w:r>
              <w:rPr>
                <w:rFonts w:hint="eastAsia"/>
                <w:color w:val="000000"/>
              </w:rPr>
              <w:t>年1月1日以来（以合同签订时间为准）承担过食材配送项目，每个得1分，最高得5分。</w:t>
            </w:r>
          </w:p>
          <w:p>
            <w:pPr>
              <w:spacing w:line="360" w:lineRule="auto"/>
              <w:rPr>
                <w:color w:val="000000"/>
              </w:rPr>
            </w:pPr>
            <w:r>
              <w:rPr>
                <w:rFonts w:hint="eastAsia"/>
                <w:color w:val="000000"/>
              </w:rPr>
              <w:t>证明材料：提供有效合同关键页扫描件，如合同未体现食材配送的，须有服务单位提供有食材配送并盖有服务单位公章的证明，否则业绩无效。未按要求提供或提供不清晰导致专家无法判断的不得分。</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p>
        </w:tc>
        <w:tc>
          <w:tcPr>
            <w:tcW w:w="1704" w:type="dxa"/>
            <w:vAlign w:val="center"/>
          </w:tcPr>
          <w:p>
            <w:pPr>
              <w:spacing w:line="360" w:lineRule="auto"/>
              <w:jc w:val="center"/>
              <w:rPr>
                <w:rStyle w:val="83"/>
                <w:rFonts w:ascii="宋体" w:hAnsi="宋体" w:cs="宋体"/>
                <w:szCs w:val="21"/>
              </w:rPr>
            </w:pPr>
            <w:r>
              <w:rPr>
                <w:rStyle w:val="83"/>
                <w:rFonts w:hint="eastAsia" w:ascii="宋体" w:hAnsi="宋体" w:cs="宋体"/>
                <w:szCs w:val="21"/>
              </w:rPr>
              <w:t>服务网点</w:t>
            </w:r>
          </w:p>
        </w:tc>
        <w:tc>
          <w:tcPr>
            <w:tcW w:w="609" w:type="dxa"/>
            <w:vAlign w:val="center"/>
          </w:tcPr>
          <w:p>
            <w:pPr>
              <w:spacing w:line="360" w:lineRule="auto"/>
              <w:jc w:val="center"/>
              <w:rPr>
                <w:rFonts w:ascii="宋体" w:hAnsi="宋体" w:cs="宋体"/>
                <w:szCs w:val="21"/>
              </w:rPr>
            </w:pPr>
            <w:r>
              <w:rPr>
                <w:rFonts w:hint="eastAsia" w:ascii="宋体" w:hAnsi="宋体" w:cs="宋体"/>
                <w:szCs w:val="21"/>
              </w:rPr>
              <w:t>5</w:t>
            </w:r>
          </w:p>
        </w:tc>
        <w:tc>
          <w:tcPr>
            <w:tcW w:w="4782" w:type="dxa"/>
          </w:tcPr>
          <w:p>
            <w:pPr>
              <w:spacing w:line="360" w:lineRule="auto"/>
              <w:rPr>
                <w:szCs w:val="21"/>
              </w:rPr>
            </w:pPr>
            <w:r>
              <w:rPr>
                <w:rFonts w:hint="eastAsia"/>
                <w:szCs w:val="21"/>
              </w:rPr>
              <w:t>1、</w:t>
            </w:r>
            <w:r>
              <w:rPr>
                <w:szCs w:val="21"/>
              </w:rPr>
              <w:t>投标人常驻深圳市</w:t>
            </w:r>
            <w:r>
              <w:rPr>
                <w:rFonts w:hint="eastAsia"/>
                <w:szCs w:val="21"/>
              </w:rPr>
              <w:t>宝安区</w:t>
            </w:r>
            <w:r>
              <w:rPr>
                <w:szCs w:val="21"/>
              </w:rPr>
              <w:t>有售后服务机构得</w:t>
            </w:r>
            <w:r>
              <w:rPr>
                <w:rFonts w:hint="eastAsia"/>
                <w:szCs w:val="21"/>
              </w:rPr>
              <w:t>5分</w:t>
            </w:r>
            <w:r>
              <w:rPr>
                <w:szCs w:val="21"/>
              </w:rPr>
              <w:t>；</w:t>
            </w:r>
          </w:p>
          <w:p>
            <w:pPr>
              <w:spacing w:line="360" w:lineRule="auto"/>
              <w:rPr>
                <w:szCs w:val="21"/>
              </w:rPr>
            </w:pPr>
            <w:r>
              <w:rPr>
                <w:rFonts w:hint="eastAsia"/>
                <w:szCs w:val="21"/>
              </w:rPr>
              <w:t>2、</w:t>
            </w:r>
            <w:r>
              <w:rPr>
                <w:szCs w:val="21"/>
              </w:rPr>
              <w:t>常驻</w:t>
            </w:r>
            <w:r>
              <w:rPr>
                <w:rFonts w:hint="eastAsia"/>
                <w:szCs w:val="21"/>
              </w:rPr>
              <w:t>深圳市其他地区</w:t>
            </w:r>
            <w:r>
              <w:rPr>
                <w:szCs w:val="21"/>
              </w:rPr>
              <w:t>有售后服务机构得</w:t>
            </w:r>
            <w:r>
              <w:rPr>
                <w:rFonts w:hint="eastAsia"/>
                <w:szCs w:val="21"/>
              </w:rPr>
              <w:t>3分；</w:t>
            </w:r>
          </w:p>
          <w:p>
            <w:pPr>
              <w:spacing w:line="360" w:lineRule="auto"/>
              <w:rPr>
                <w:szCs w:val="21"/>
              </w:rPr>
            </w:pPr>
            <w:r>
              <w:rPr>
                <w:rFonts w:hint="eastAsia"/>
                <w:szCs w:val="21"/>
              </w:rPr>
              <w:t>3、承诺中标后在宝安区设立一个售后服务机构的得2分</w:t>
            </w:r>
            <w:r>
              <w:rPr>
                <w:szCs w:val="21"/>
              </w:rPr>
              <w:t>其余不得分。</w:t>
            </w:r>
          </w:p>
          <w:p>
            <w:pPr>
              <w:spacing w:line="360" w:lineRule="auto"/>
              <w:rPr>
                <w:rFonts w:ascii="宋体" w:hAnsi="宋体" w:cs="宋体"/>
                <w:szCs w:val="21"/>
              </w:rPr>
            </w:pPr>
            <w:r>
              <w:rPr>
                <w:rFonts w:hint="eastAsia"/>
                <w:szCs w:val="21"/>
              </w:rPr>
              <w:t>以上三项不可重复得分，</w:t>
            </w:r>
            <w:r>
              <w:rPr>
                <w:szCs w:val="21"/>
              </w:rPr>
              <w:t>投标人须提供营业执照（具有注册地址）或房屋租赁合同或房产证扫描件作为证明材料；如有合作公司提供售后服务的，提供合作协议以及合作公司的营业执照（具有注册地址）或房屋租赁合同或房产证扫描件作为证明材料</w:t>
            </w:r>
            <w:r>
              <w:rPr>
                <w:rFonts w:hint="eastAsia"/>
                <w:szCs w:val="21"/>
              </w:rPr>
              <w:t>；承诺中标后设立服务机构的需提供承诺函，格式自拟，</w:t>
            </w:r>
            <w:r>
              <w:rPr>
                <w:szCs w:val="21"/>
              </w:rPr>
              <w:t>不按要求提供不得分。</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1"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asciiTheme="minorEastAsia" w:hAnsiTheme="minorEastAsia" w:eastAsiaTheme="minorEastAsia"/>
                <w:szCs w:val="21"/>
                <w:lang w:val="zh-CN"/>
              </w:rPr>
              <w:t>3</w:t>
            </w:r>
          </w:p>
        </w:tc>
        <w:tc>
          <w:tcPr>
            <w:tcW w:w="1704" w:type="dxa"/>
            <w:vAlign w:val="center"/>
          </w:tcPr>
          <w:p>
            <w:pPr>
              <w:wordWrap w:val="0"/>
              <w:spacing w:after="60" w:line="360" w:lineRule="auto"/>
              <w:jc w:val="center"/>
              <w:rPr>
                <w:rFonts w:cs="宋体" w:asciiTheme="minorEastAsia" w:hAnsiTheme="minorEastAsia" w:eastAsiaTheme="minorEastAsia"/>
                <w:szCs w:val="21"/>
              </w:rPr>
            </w:pPr>
            <w:r>
              <w:rPr>
                <w:rFonts w:asciiTheme="minorEastAsia" w:hAnsiTheme="minorEastAsia" w:eastAsiaTheme="minorEastAsia"/>
                <w:szCs w:val="21"/>
              </w:rPr>
              <w:t>投标人诚信评价</w:t>
            </w:r>
          </w:p>
        </w:tc>
        <w:tc>
          <w:tcPr>
            <w:tcW w:w="609" w:type="dxa"/>
            <w:vAlign w:val="center"/>
          </w:tcPr>
          <w:p>
            <w:pPr>
              <w:wordWrap w:val="0"/>
              <w:spacing w:after="60" w:line="36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5</w:t>
            </w:r>
          </w:p>
        </w:tc>
        <w:tc>
          <w:tcPr>
            <w:tcW w:w="4782" w:type="dxa"/>
          </w:tcPr>
          <w:p>
            <w:pPr>
              <w:wordWrap w:val="0"/>
              <w:spacing w:line="360" w:lineRule="auto"/>
              <w:rPr>
                <w:rFonts w:asciiTheme="minorEastAsia" w:hAnsiTheme="minorEastAsia" w:eastAsiaTheme="minorEastAsia"/>
                <w:szCs w:val="21"/>
              </w:rPr>
            </w:pPr>
            <w:r>
              <w:rPr>
                <w:rFonts w:asciiTheme="minorEastAsia" w:hAnsiTheme="minorEastAsia" w:eastAsiaTheme="minorEastAsia"/>
                <w:szCs w:val="21"/>
              </w:rPr>
              <w:t>根据《深圳市财政委员会关于加强招投标评审环节诚信管理的通知》（深财购[2017]42号）相关规定，投标人在参与政府采购活动中出现诚信相关问题且在相关主管部门处理措施实施期限内的本项不得分，否则得</w:t>
            </w:r>
            <w:r>
              <w:rPr>
                <w:rFonts w:hint="eastAsia" w:asciiTheme="minorEastAsia" w:hAnsiTheme="minorEastAsia" w:eastAsiaTheme="minorEastAsia"/>
                <w:szCs w:val="21"/>
              </w:rPr>
              <w:t>5</w:t>
            </w:r>
            <w:r>
              <w:rPr>
                <w:rFonts w:asciiTheme="minorEastAsia" w:hAnsiTheme="minorEastAsia" w:eastAsiaTheme="minorEastAsia"/>
                <w:szCs w:val="21"/>
              </w:rPr>
              <w:t>分。投标人需提供</w:t>
            </w:r>
            <w:r>
              <w:rPr>
                <w:rFonts w:hint="eastAsia" w:asciiTheme="minorEastAsia" w:hAnsiTheme="minorEastAsia" w:eastAsiaTheme="minorEastAsia"/>
                <w:szCs w:val="21"/>
              </w:rPr>
              <w:t>诚信承诺函</w:t>
            </w:r>
            <w:r>
              <w:rPr>
                <w:rFonts w:asciiTheme="minorEastAsia" w:hAnsiTheme="minorEastAsia" w:eastAsiaTheme="minorEastAsia"/>
                <w:szCs w:val="21"/>
              </w:rPr>
              <w:t>。</w:t>
            </w:r>
          </w:p>
        </w:tc>
        <w:tc>
          <w:tcPr>
            <w:tcW w:w="1559" w:type="dxa"/>
            <w:vAlign w:val="center"/>
          </w:tcPr>
          <w:p>
            <w:pPr>
              <w:autoSpaceDE w:val="0"/>
              <w:autoSpaceDN w:val="0"/>
              <w:adjustRightInd w:val="0"/>
              <w:spacing w:line="360" w:lineRule="auto"/>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专家打分</w:t>
            </w:r>
          </w:p>
        </w:tc>
      </w:tr>
      <w:bookmarkEnd w:id="26"/>
    </w:tbl>
    <w:p>
      <w:pPr>
        <w:widowControl/>
        <w:jc w:val="left"/>
        <w:rPr>
          <w:rFonts w:asciiTheme="minorEastAsia" w:hAnsiTheme="minorEastAsia" w:eastAsiaTheme="minorEastAsia"/>
          <w:b/>
          <w:bCs/>
          <w:sz w:val="18"/>
          <w:szCs w:val="18"/>
        </w:rPr>
      </w:pPr>
    </w:p>
    <w:p>
      <w:pPr>
        <w:widowControl/>
        <w:jc w:val="left"/>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2.招标文件“第六章 采购需求书”更正如下：</w:t>
      </w:r>
    </w:p>
    <w:p>
      <w:pPr>
        <w:pStyle w:val="5"/>
        <w:spacing w:before="0" w:after="0" w:line="360" w:lineRule="auto"/>
        <w:rPr>
          <w:rFonts w:cs="仿宋_GB2312" w:asciiTheme="minorEastAsia" w:hAnsiTheme="minorEastAsia" w:eastAsiaTheme="minorEastAsia"/>
          <w:sz w:val="21"/>
          <w:szCs w:val="21"/>
        </w:rPr>
      </w:pPr>
      <w:bookmarkStart w:id="0" w:name="_Toc45185344"/>
      <w:bookmarkStart w:id="1" w:name="_Toc51766127"/>
      <w:bookmarkStart w:id="2" w:name="_Toc51766863"/>
      <w:bookmarkStart w:id="3" w:name="_Toc47363680"/>
      <w:bookmarkStart w:id="4" w:name="_Toc34921340"/>
      <w:bookmarkStart w:id="5" w:name="_Toc43739801"/>
      <w:r>
        <w:rPr>
          <w:rFonts w:hint="eastAsia" w:cs="仿宋_GB2312" w:asciiTheme="minorEastAsia" w:hAnsiTheme="minorEastAsia" w:eastAsiaTheme="minorEastAsia"/>
          <w:sz w:val="21"/>
          <w:szCs w:val="21"/>
        </w:rPr>
        <w:t>一、 项目概况</w:t>
      </w:r>
      <w:bookmarkEnd w:id="0"/>
      <w:bookmarkEnd w:id="1"/>
      <w:bookmarkEnd w:id="2"/>
      <w:bookmarkEnd w:id="3"/>
    </w:p>
    <w:p>
      <w:pPr>
        <w:pStyle w:val="5"/>
        <w:spacing w:before="0" w:after="0" w:line="360" w:lineRule="auto"/>
        <w:rPr>
          <w:rFonts w:cs="仿宋_GB2312" w:asciiTheme="minorEastAsia" w:hAnsiTheme="minorEastAsia" w:eastAsiaTheme="minorEastAsia"/>
          <w:sz w:val="21"/>
          <w:szCs w:val="21"/>
        </w:rPr>
      </w:pPr>
      <w:bookmarkStart w:id="6" w:name="_Toc51766128"/>
      <w:bookmarkStart w:id="7" w:name="_Toc51766864"/>
      <w:bookmarkStart w:id="8" w:name="_Toc45185345"/>
      <w:bookmarkStart w:id="9" w:name="_Toc47363681"/>
      <w:r>
        <w:rPr>
          <w:rFonts w:hint="eastAsia" w:cs="仿宋_GB2312" w:asciiTheme="minorEastAsia" w:hAnsiTheme="minorEastAsia" w:eastAsiaTheme="minorEastAsia"/>
          <w:sz w:val="21"/>
          <w:szCs w:val="21"/>
        </w:rPr>
        <w:t>1.项目简介</w:t>
      </w:r>
      <w:bookmarkEnd w:id="6"/>
      <w:bookmarkEnd w:id="7"/>
    </w:p>
    <w:p>
      <w:pPr>
        <w:pStyle w:val="11"/>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项目采购范围：粮谷（米、面）、蔬菜、水果、禽畜生肉、禽蛋、冻品、水产品、副食品、干货、杂货、调料、一次性饭盒用品等食堂原材料。</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项目依据及标准：《中华人民共和国食品安全法》、《餐饮业和集体用餐配送单位卫生规范》、产品国家标准等。</w:t>
      </w:r>
    </w:p>
    <w:p>
      <w:pPr>
        <w:pStyle w:val="5"/>
        <w:spacing w:before="0" w:after="0" w:line="360" w:lineRule="auto"/>
        <w:rPr>
          <w:rFonts w:cs="仿宋_GB2312" w:asciiTheme="minorEastAsia" w:hAnsiTheme="minorEastAsia" w:eastAsiaTheme="minorEastAsia"/>
          <w:sz w:val="21"/>
          <w:szCs w:val="21"/>
        </w:rPr>
      </w:pPr>
      <w:bookmarkStart w:id="10" w:name="_Toc51766129"/>
      <w:bookmarkStart w:id="11" w:name="_Toc51766865"/>
      <w:r>
        <w:rPr>
          <w:rFonts w:hint="eastAsia" w:cs="仿宋_GB2312" w:asciiTheme="minorEastAsia" w:hAnsiTheme="minorEastAsia" w:eastAsiaTheme="minorEastAsia"/>
          <w:sz w:val="21"/>
          <w:szCs w:val="21"/>
        </w:rPr>
        <w:t>2.项目一览表</w:t>
      </w:r>
      <w:bookmarkEnd w:id="4"/>
      <w:bookmarkEnd w:id="5"/>
      <w:bookmarkEnd w:id="8"/>
      <w:bookmarkEnd w:id="9"/>
      <w:bookmarkEnd w:id="10"/>
      <w:bookmarkEnd w:id="11"/>
    </w:p>
    <w:tbl>
      <w:tblPr>
        <w:tblStyle w:val="29"/>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864"/>
        <w:gridCol w:w="1559"/>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66" w:type="dxa"/>
            <w:shd w:val="clear" w:color="auto" w:fill="EEECE1"/>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4864" w:type="dxa"/>
            <w:shd w:val="clear" w:color="auto" w:fill="EEECE1"/>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采购内容</w:t>
            </w:r>
          </w:p>
        </w:tc>
        <w:tc>
          <w:tcPr>
            <w:tcW w:w="1559" w:type="dxa"/>
            <w:shd w:val="clear" w:color="auto" w:fill="EEECE1"/>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2078" w:type="dxa"/>
            <w:shd w:val="clear" w:color="auto" w:fill="EEECE1"/>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66" w:type="dxa"/>
            <w:vAlign w:val="center"/>
          </w:tcPr>
          <w:p>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4864" w:type="dxa"/>
            <w:vAlign w:val="center"/>
          </w:tcPr>
          <w:p>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深圳</w:t>
            </w:r>
            <w:r>
              <w:rPr>
                <w:rFonts w:asciiTheme="minorEastAsia" w:hAnsiTheme="minorEastAsia" w:eastAsiaTheme="minorEastAsia"/>
                <w:bCs/>
                <w:szCs w:val="21"/>
              </w:rPr>
              <w:t>市宝安</w:t>
            </w:r>
            <w:r>
              <w:rPr>
                <w:rFonts w:hint="eastAsia" w:asciiTheme="minorEastAsia" w:hAnsiTheme="minorEastAsia" w:eastAsiaTheme="minorEastAsia"/>
                <w:bCs/>
                <w:szCs w:val="21"/>
                <w:lang w:eastAsia="zh-CN"/>
              </w:rPr>
              <w:t>中心血站献血者营养餐厅食材</w:t>
            </w:r>
            <w:r>
              <w:rPr>
                <w:rFonts w:hint="eastAsia" w:asciiTheme="minorEastAsia" w:hAnsiTheme="minorEastAsia" w:eastAsiaTheme="minorEastAsia"/>
                <w:bCs/>
                <w:szCs w:val="21"/>
              </w:rPr>
              <w:t>食材配送服务</w:t>
            </w:r>
          </w:p>
        </w:tc>
        <w:tc>
          <w:tcPr>
            <w:tcW w:w="1559" w:type="dxa"/>
            <w:vAlign w:val="center"/>
          </w:tcPr>
          <w:p>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1项</w:t>
            </w:r>
          </w:p>
        </w:tc>
        <w:tc>
          <w:tcPr>
            <w:tcW w:w="2078" w:type="dxa"/>
            <w:vAlign w:val="center"/>
          </w:tcPr>
          <w:p>
            <w:pPr>
              <w:pStyle w:val="82"/>
              <w:spacing w:line="360" w:lineRule="auto"/>
              <w:ind w:hanging="67"/>
              <w:rPr>
                <w:rFonts w:asciiTheme="minorEastAsia" w:hAnsiTheme="minorEastAsia" w:eastAsiaTheme="minorEastAsia"/>
                <w:snapToGrid/>
                <w:spacing w:val="0"/>
                <w:kern w:val="2"/>
                <w:sz w:val="21"/>
                <w:szCs w:val="21"/>
              </w:rPr>
            </w:pPr>
            <w:r>
              <w:rPr>
                <w:rFonts w:hint="eastAsia" w:asciiTheme="minorEastAsia" w:hAnsiTheme="minorEastAsia" w:eastAsiaTheme="minorEastAsia"/>
                <w:snapToGrid/>
                <w:spacing w:val="0"/>
                <w:kern w:val="2"/>
                <w:sz w:val="21"/>
                <w:szCs w:val="21"/>
              </w:rPr>
              <w:t>服务期限3年，    合同一年一签。</w:t>
            </w:r>
          </w:p>
        </w:tc>
      </w:tr>
    </w:tbl>
    <w:p>
      <w:pPr>
        <w:pStyle w:val="5"/>
        <w:spacing w:before="0" w:after="0" w:line="360" w:lineRule="auto"/>
        <w:rPr>
          <w:rFonts w:cs="仿宋_GB2312" w:asciiTheme="minorEastAsia" w:hAnsiTheme="minorEastAsia" w:eastAsiaTheme="minorEastAsia"/>
          <w:sz w:val="21"/>
          <w:szCs w:val="21"/>
        </w:rPr>
      </w:pPr>
      <w:bookmarkStart w:id="12" w:name="_Toc51766130"/>
      <w:bookmarkStart w:id="13" w:name="_Toc51766866"/>
      <w:r>
        <w:rPr>
          <w:rFonts w:hint="eastAsia" w:cs="仿宋_GB2312" w:asciiTheme="minorEastAsia" w:hAnsiTheme="minorEastAsia" w:eastAsiaTheme="minorEastAsia"/>
          <w:sz w:val="21"/>
          <w:szCs w:val="21"/>
        </w:rPr>
        <w:t>二、</w:t>
      </w:r>
      <w:r>
        <w:rPr>
          <w:rFonts w:hint="eastAsia" w:asciiTheme="minorEastAsia" w:hAnsiTheme="minorEastAsia" w:eastAsiaTheme="minorEastAsia"/>
          <w:sz w:val="21"/>
          <w:szCs w:val="21"/>
        </w:rPr>
        <w:t>服务要求</w:t>
      </w:r>
      <w:bookmarkEnd w:id="12"/>
      <w:bookmarkEnd w:id="13"/>
    </w:p>
    <w:p>
      <w:pPr>
        <w:numPr>
          <w:ilvl w:val="0"/>
          <w:numId w:val="2"/>
        </w:num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项目基本要求</w:t>
      </w:r>
    </w:p>
    <w:p>
      <w:pPr>
        <w:pStyle w:val="11"/>
        <w:numPr>
          <w:ilvl w:val="0"/>
          <w:numId w:val="3"/>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本项目为深圳市</w:t>
      </w:r>
      <w:r>
        <w:rPr>
          <w:rFonts w:hint="eastAsia" w:asciiTheme="minorEastAsia" w:hAnsiTheme="minorEastAsia" w:eastAsiaTheme="minorEastAsia"/>
          <w:szCs w:val="21"/>
          <w:lang w:eastAsia="zh-CN"/>
        </w:rPr>
        <w:t>宝安区中心血站献血者营养餐厅食材配送招标项目</w:t>
      </w:r>
      <w:r>
        <w:rPr>
          <w:rFonts w:hint="eastAsia" w:asciiTheme="minorEastAsia" w:hAnsiTheme="minorEastAsia" w:eastAsiaTheme="minorEastAsia"/>
          <w:szCs w:val="21"/>
        </w:rPr>
        <w:t>，本项目将产生</w:t>
      </w:r>
      <w:r>
        <w:rPr>
          <w:rFonts w:asciiTheme="minorEastAsia" w:hAnsiTheme="minorEastAsia" w:eastAsiaTheme="minorEastAsia"/>
          <w:szCs w:val="21"/>
        </w:rPr>
        <w:t>1</w:t>
      </w:r>
      <w:r>
        <w:rPr>
          <w:rFonts w:hint="eastAsia" w:asciiTheme="minorEastAsia" w:hAnsiTheme="minorEastAsia" w:eastAsiaTheme="minorEastAsia"/>
          <w:szCs w:val="21"/>
        </w:rPr>
        <w:t>名中标供应商。</w:t>
      </w:r>
    </w:p>
    <w:p>
      <w:pPr>
        <w:pStyle w:val="11"/>
        <w:numPr>
          <w:ilvl w:val="0"/>
          <w:numId w:val="3"/>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为确保项目质量，中标人不得转包、分包，否则采购人有权即刻终止合同，并要求中标人赔偿相应损失。</w:t>
      </w:r>
    </w:p>
    <w:p>
      <w:pPr>
        <w:numPr>
          <w:ilvl w:val="0"/>
          <w:numId w:val="4"/>
        </w:num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食堂配送内容及服务要求</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中标人应严格遵守政府采购的相关规定、遵循采购人食堂需求及签订合同条款的内容进行食堂物资的配送。在规定的时限内对食堂物资进行准点配送 ，并提前准备好紧急预案，沟通协调好与采购人食堂物资配送工作。</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配送货物品种：蔬菜类、鲜肉类、水产类、水果、粮油、副食、干货、调配料等主副食品、一次性餐具及一次性饭盒用品、洗涤等配套用品</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所供食品的质量要求：所供食品必须符合《国家食品卫生标准》、《食品卫生法》和《动物检疫法》等国家相关规定，必须保证食品和卫生安全，应当无毒、无害，具有相应的色、香、味等感官性状。蔬菜水果类应保持较好的色泽和新鲜度，不得有黄叶、腐烂、泥沙等现象，或属于无公害蔬菜水果；冷冻类及干货应在保质期范围内，并保持较好的外观和等级；鲜肉类全部来源于国家认可的正规肉厂，为当日新鲜商品，并经政府相关检验合格；海鲜、河鲜产品必须鲜活；粮油、副食、调料等由大型正规厂供货，相关证件齐全。鲜肉、蔬菜类每日必须提供相应的的检测报告，严禁配送假冒、变质、过期的产品，不得弄虚作假或以次充好，对于不符合质量的品种采购单位有权要求退货或换货。因供应的货物质量达不到国家有关食品安全标准而造成食物中毒或其它后果，经卫生防疫部门鉴定属于中标人（配送单位）责任的，其产生的一切法律和经济责任全部由中标人承担。</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需具备配送服务的专用车辆及配送人员，专门派一名员工跟单办理业务，按每天制订的采购单提供专门配送服务。</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在深圳至少有一个配送中心（提供具体地址、负责人联系方式），距离配送目的地车程距离在40公里以内，并能针对采购单位情况制定高效、优质的配送方案。</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必须在每天早上7点45分前把所配送的食堂原材料按质按量送达指定地点，由食堂工作人员验收核对后入库。</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定期有温馨提示，提示哪些蔬菜瓜果质量较差，哪些价格涨幅大等信息。</w:t>
      </w:r>
    </w:p>
    <w:p>
      <w:pPr>
        <w:pStyle w:val="11"/>
        <w:numPr>
          <w:ilvl w:val="0"/>
          <w:numId w:val="5"/>
        </w:numPr>
        <w:spacing w:after="0" w:line="360" w:lineRule="auto"/>
        <w:rPr>
          <w:rFonts w:asciiTheme="minorEastAsia" w:hAnsiTheme="minorEastAsia" w:eastAsiaTheme="minorEastAsia"/>
          <w:szCs w:val="21"/>
        </w:rPr>
      </w:pPr>
      <w:r>
        <w:rPr>
          <w:rFonts w:hint="eastAsia" w:asciiTheme="minorEastAsia" w:hAnsiTheme="minorEastAsia" w:eastAsiaTheme="minorEastAsia"/>
          <w:szCs w:val="21"/>
        </w:rPr>
        <w:t>如配送的货物不符合要求、没有准点到达指定配送地点等，一次提出口头警告并要求供应商做出书面保证，二次扣当天货款10%，不符合要求达到三次的，采购人可取消资格。</w:t>
      </w:r>
    </w:p>
    <w:p>
      <w:pPr>
        <w:pStyle w:val="84"/>
        <w:adjustRightInd w:val="0"/>
        <w:snapToGrid w:val="0"/>
        <w:spacing w:beforeLines="50" w:afterLines="50" w:line="360" w:lineRule="auto"/>
        <w:outlineLvl w:val="1"/>
        <w:rPr>
          <w:rFonts w:asciiTheme="minorEastAsia" w:hAnsiTheme="minorEastAsia" w:eastAsiaTheme="minorEastAsia"/>
          <w:b/>
          <w:bCs/>
          <w:sz w:val="21"/>
          <w:szCs w:val="21"/>
        </w:rPr>
      </w:pPr>
      <w:bookmarkStart w:id="14" w:name="_Toc51766867"/>
      <w:bookmarkStart w:id="15" w:name="_Toc51766131"/>
      <w:r>
        <w:rPr>
          <w:rFonts w:hint="eastAsia" w:asciiTheme="minorEastAsia" w:hAnsiTheme="minorEastAsia" w:eastAsiaTheme="minorEastAsia"/>
          <w:b/>
          <w:bCs/>
          <w:sz w:val="21"/>
          <w:szCs w:val="21"/>
        </w:rPr>
        <w:t>三、服务地点</w:t>
      </w:r>
      <w:bookmarkEnd w:id="14"/>
      <w:bookmarkEnd w:id="15"/>
    </w:p>
    <w:p>
      <w:pPr>
        <w:pStyle w:val="11"/>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深圳市宝安区中心血站</w:t>
      </w:r>
    </w:p>
    <w:p>
      <w:pPr>
        <w:pStyle w:val="84"/>
        <w:adjustRightInd w:val="0"/>
        <w:snapToGrid w:val="0"/>
        <w:spacing w:beforeLines="50" w:afterLines="50" w:line="360" w:lineRule="auto"/>
        <w:outlineLvl w:val="1"/>
        <w:rPr>
          <w:rFonts w:asciiTheme="minorEastAsia" w:hAnsiTheme="minorEastAsia" w:eastAsiaTheme="minorEastAsia"/>
          <w:b/>
          <w:bCs/>
          <w:sz w:val="21"/>
          <w:szCs w:val="21"/>
        </w:rPr>
      </w:pPr>
      <w:bookmarkStart w:id="16" w:name="_Toc51766133"/>
      <w:bookmarkStart w:id="17" w:name="_Toc51766869"/>
      <w:r>
        <w:rPr>
          <w:rFonts w:hint="eastAsia" w:asciiTheme="minorEastAsia" w:hAnsiTheme="minorEastAsia" w:eastAsiaTheme="minorEastAsia"/>
          <w:b/>
          <w:bCs/>
          <w:sz w:val="21"/>
          <w:szCs w:val="21"/>
        </w:rPr>
        <w:t>四、服务期限</w:t>
      </w:r>
      <w:bookmarkEnd w:id="16"/>
      <w:bookmarkEnd w:id="17"/>
    </w:p>
    <w:p>
      <w:pPr>
        <w:pStyle w:val="11"/>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服务三年，合同一年一签，一个年度的任务完成后，由采购单位根据中标供应商的服务质量情况决定是否续签下一年度合同。不予续签的，通过重新招标确定新的中标供应商，给予续签的，合同实质性内容不得变更。</w:t>
      </w:r>
    </w:p>
    <w:p>
      <w:pPr>
        <w:pStyle w:val="84"/>
        <w:adjustRightInd w:val="0"/>
        <w:snapToGrid w:val="0"/>
        <w:spacing w:beforeLines="50" w:afterLines="50" w:line="360" w:lineRule="auto"/>
        <w:outlineLvl w:val="1"/>
        <w:rPr>
          <w:rFonts w:asciiTheme="minorEastAsia" w:hAnsiTheme="minorEastAsia" w:eastAsiaTheme="minorEastAsia"/>
          <w:b/>
          <w:bCs/>
          <w:sz w:val="21"/>
          <w:szCs w:val="21"/>
        </w:rPr>
      </w:pPr>
      <w:bookmarkStart w:id="18" w:name="_Toc51766134"/>
      <w:bookmarkStart w:id="19" w:name="_Toc51766870"/>
      <w:r>
        <w:rPr>
          <w:rFonts w:hint="eastAsia" w:asciiTheme="minorEastAsia" w:hAnsiTheme="minorEastAsia" w:eastAsiaTheme="minorEastAsia"/>
          <w:b/>
          <w:bCs/>
          <w:sz w:val="21"/>
          <w:szCs w:val="21"/>
        </w:rPr>
        <w:t>五、报价要求</w:t>
      </w:r>
      <w:bookmarkEnd w:id="18"/>
      <w:bookmarkEnd w:id="19"/>
    </w:p>
    <w:p>
      <w:pPr>
        <w:pStyle w:val="11"/>
        <w:spacing w:line="360" w:lineRule="auto"/>
        <w:rPr>
          <w:rFonts w:asciiTheme="minorEastAsia" w:hAnsiTheme="minorEastAsia" w:eastAsiaTheme="minorEastAsia"/>
          <w:szCs w:val="21"/>
        </w:rPr>
      </w:pPr>
      <w:bookmarkStart w:id="20" w:name="_Toc51766136"/>
      <w:bookmarkStart w:id="21" w:name="_Toc51766872"/>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所有食材的价格均以中农网每月5、15、25号公布的精品平均零售价为基准，以投标人在《投标一览表》中填写的下浮率为准。下浮率由各投标人自行报价。中农网无公布的精品品种，由采购人与中标人具体协商，参考市场行情、周边大型超市及投标人所报的零售单价下浮率来确定标准执行。</w:t>
      </w:r>
    </w:p>
    <w:p>
      <w:pPr>
        <w:pStyle w:val="11"/>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.如遇台风、暴雨等不可遇见的原因造成个别品种及价格需临时做调整的，供应商应事先通知采购人，在采购人确认后方可调整。</w:t>
      </w:r>
    </w:p>
    <w:p>
      <w:pPr>
        <w:pStyle w:val="11"/>
        <w:spacing w:line="360" w:lineRule="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.所有物资的报价包括供应产品和产品运输到使用单位的服务费、检测费、人工费、管理费、税金等一切将可发生的费用。以上报价以人民币为报价和结算单位，须开具国家正规发票。</w:t>
      </w:r>
    </w:p>
    <w:p>
      <w:pPr>
        <w:pStyle w:val="84"/>
        <w:adjustRightInd w:val="0"/>
        <w:snapToGrid w:val="0"/>
        <w:spacing w:line="360" w:lineRule="auto"/>
        <w:outlineLvl w:val="1"/>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bookmarkEnd w:id="20"/>
      <w:bookmarkEnd w:id="21"/>
    </w:p>
    <w:p>
      <w:pPr>
        <w:pStyle w:val="84"/>
        <w:adjustRightInd w:val="0"/>
        <w:snapToGrid w:val="0"/>
        <w:spacing w:beforeLines="50" w:afterLines="50" w:line="360" w:lineRule="auto"/>
        <w:outlineLvl w:val="1"/>
        <w:rPr>
          <w:rFonts w:asciiTheme="minorEastAsia" w:hAnsiTheme="minorEastAsia" w:eastAsiaTheme="minorEastAsia"/>
          <w:b/>
          <w:bCs/>
          <w:sz w:val="21"/>
          <w:szCs w:val="21"/>
        </w:rPr>
      </w:pPr>
      <w:bookmarkStart w:id="22" w:name="_Toc51766873"/>
      <w:bookmarkStart w:id="23" w:name="_Toc51766137"/>
      <w:r>
        <w:rPr>
          <w:rFonts w:hint="eastAsia" w:asciiTheme="minorEastAsia" w:hAnsiTheme="minorEastAsia" w:eastAsiaTheme="minorEastAsia"/>
          <w:b/>
          <w:bCs/>
          <w:sz w:val="21"/>
          <w:szCs w:val="21"/>
        </w:rPr>
        <w:t>六、付款方式</w:t>
      </w:r>
      <w:bookmarkEnd w:id="22"/>
      <w:bookmarkEnd w:id="23"/>
    </w:p>
    <w:p>
      <w:pPr>
        <w:pStyle w:val="84"/>
        <w:adjustRightInd w:val="0"/>
        <w:snapToGrid w:val="0"/>
        <w:spacing w:line="360" w:lineRule="auto"/>
        <w:ind w:firstLine="420" w:firstLineChars="200"/>
        <w:outlineLvl w:val="1"/>
        <w:rPr>
          <w:rFonts w:asciiTheme="minorEastAsia" w:hAnsiTheme="minorEastAsia" w:eastAsiaTheme="minorEastAsia"/>
          <w:szCs w:val="21"/>
        </w:rPr>
      </w:pPr>
      <w:r>
        <w:rPr>
          <w:rFonts w:hint="eastAsia" w:asciiTheme="minorEastAsia" w:hAnsiTheme="minorEastAsia" w:eastAsiaTheme="minorEastAsia"/>
          <w:sz w:val="21"/>
          <w:szCs w:val="21"/>
        </w:rPr>
        <w:t>送货款项每月结算一次，次月30号之前划帐结清。</w:t>
      </w:r>
    </w:p>
    <w:p>
      <w:pPr>
        <w:pStyle w:val="84"/>
        <w:adjustRightInd w:val="0"/>
        <w:snapToGrid w:val="0"/>
        <w:spacing w:beforeLines="50" w:afterLines="50" w:line="360" w:lineRule="auto"/>
        <w:outlineLvl w:val="1"/>
        <w:rPr>
          <w:rFonts w:asciiTheme="minorEastAsia" w:hAnsiTheme="minorEastAsia" w:eastAsiaTheme="minorEastAsia"/>
          <w:b/>
          <w:bCs/>
          <w:sz w:val="21"/>
          <w:szCs w:val="21"/>
        </w:rPr>
      </w:pPr>
      <w:bookmarkStart w:id="24" w:name="_Toc51766874"/>
      <w:bookmarkStart w:id="25" w:name="_Toc51766138"/>
      <w:r>
        <w:rPr>
          <w:rFonts w:hint="eastAsia" w:asciiTheme="minorEastAsia" w:hAnsiTheme="minorEastAsia" w:eastAsiaTheme="minorEastAsia"/>
          <w:b/>
          <w:bCs/>
          <w:sz w:val="21"/>
          <w:szCs w:val="21"/>
        </w:rPr>
        <w:t>七、违约责任</w:t>
      </w:r>
      <w:bookmarkEnd w:id="24"/>
      <w:bookmarkEnd w:id="25"/>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中标人必须严格按照采购人规定的时间将原材料送达指定食堂。若到货时间因中标人原因延误，迟到30分钟以内的，采购人给予警告处分，半个月内获警告处分2次或以上的，扣中标人当期货款的1％作违约金；迟到30分钟以上1小时以下的，中标人按当批货款的5％向采购人交纳违约金；迟到超过1小时的，采购人有权拒收中标人货物，中标人并按当天应采购蔬菜的金额的20％向采购人交纳违约金，采购人有权启用中标人履约保证金到就近市场进行应急采购。</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漏单：如中标人漏单则须无偿补货，必须当天早上10：30前补货至食堂。</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中标人所送个别货物品质不符合本合同验收标准的，采购人有权拒收，中标人应保证在当天10:30前增补送到。退货后中标人不在规定时间内送达增补货物的，中标人按该品种当天货款的20％向采购人交纳违约金，采购人有权使用中标人履约保证金实施紧急采购；当批不合格货物累计金额达当批总金额的30％以上的，采购人除退货外，中标人还按当批货款的20％向采购人交纳违约金，此情况在半个月（一个结算周期内）出现2次或以上的，中标人构成违约，采购人有权取消其供货资格（因天气恶劣等客观原因导致蔬菜整体质量下降的情况除外）。</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收货后，采购人如在加工过程中发现有变质腐烂等现象的，必须在当天以电话、传真、电邮或微信等方式通知中标人，中标人负责安排人员次日回收处理，并签名确认退货数量。如有变质的蔬菜，但采购人未以上述方式通知中标人的，中标人不予退货。</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如个别品种因市场价格波动原因（经采购人调查证实由季节性及天气问题造成的品种紧缺除外），中标人不供货或供货量与订单量相差较大的，采购人有权处以中标人违约金。违约金=（累计订单数量—实收数量）*配送价。</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采购人严格按照订单明细收货。</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由于中标人所供货物的质量问题导致采购人用餐人员发生食物中毒事件时（以防疫部门鉴定为准），除偿付采购人损失外，并追究法律责任，同时，立即终止合同。</w:t>
      </w:r>
    </w:p>
    <w:p>
      <w:pPr>
        <w:pStyle w:val="11"/>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采购人每年进行一次综合评分，根据配送的产品质量、售后服务、漏送的货跟踪处理情况等方面进行考核，综合评分低于75分以下的供应商或被采购人约谈超过三次的情况，采购人有权单方面取消合同，不负任何法律责任。</w:t>
      </w:r>
    </w:p>
    <w:p>
      <w:pPr>
        <w:widowControl/>
        <w:jc w:val="left"/>
        <w:rPr>
          <w:rFonts w:ascii="仿宋_GB2312" w:hAnsi="华文仿宋" w:eastAsia="仿宋_GB2312"/>
          <w:sz w:val="28"/>
          <w:szCs w:val="28"/>
        </w:rPr>
      </w:pPr>
    </w:p>
    <w:sectPr>
      <w:headerReference r:id="rId3" w:type="defaul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6</w:t>
    </w:r>
    <w:r>
      <w:rPr>
        <w:rStyle w:val="33"/>
      </w:rPr>
      <w:fldChar w:fldCharType="end"/>
    </w:r>
  </w:p>
  <w:p>
    <w:pPr>
      <w:pStyle w:val="18"/>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417A"/>
    <w:multiLevelType w:val="singleLevel"/>
    <w:tmpl w:val="B092417A"/>
    <w:lvl w:ilvl="0" w:tentative="0">
      <w:start w:val="1"/>
      <w:numFmt w:val="decimal"/>
      <w:lvlText w:val="%1."/>
      <w:lvlJc w:val="left"/>
      <w:pPr>
        <w:tabs>
          <w:tab w:val="left" w:pos="312"/>
        </w:tabs>
      </w:pPr>
    </w:lvl>
  </w:abstractNum>
  <w:abstractNum w:abstractNumId="1">
    <w:nsid w:val="57D25252"/>
    <w:multiLevelType w:val="multilevel"/>
    <w:tmpl w:val="57D2525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1B0B9D"/>
    <w:multiLevelType w:val="multilevel"/>
    <w:tmpl w:val="5A1B0B9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FEB73D6"/>
    <w:multiLevelType w:val="multilevel"/>
    <w:tmpl w:val="5FEB73D6"/>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AF55F48"/>
    <w:multiLevelType w:val="multilevel"/>
    <w:tmpl w:val="7AF55F4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8D"/>
    <w:rsid w:val="0000081F"/>
    <w:rsid w:val="00000842"/>
    <w:rsid w:val="000042DB"/>
    <w:rsid w:val="00006B2B"/>
    <w:rsid w:val="000079A9"/>
    <w:rsid w:val="00011920"/>
    <w:rsid w:val="0001519A"/>
    <w:rsid w:val="00015FBD"/>
    <w:rsid w:val="0002065A"/>
    <w:rsid w:val="000240D8"/>
    <w:rsid w:val="00025C4E"/>
    <w:rsid w:val="00026668"/>
    <w:rsid w:val="0002707C"/>
    <w:rsid w:val="00031C49"/>
    <w:rsid w:val="0003214A"/>
    <w:rsid w:val="000333D3"/>
    <w:rsid w:val="00040A8E"/>
    <w:rsid w:val="0004211C"/>
    <w:rsid w:val="0004264D"/>
    <w:rsid w:val="0004341D"/>
    <w:rsid w:val="00050B00"/>
    <w:rsid w:val="00051958"/>
    <w:rsid w:val="0005467E"/>
    <w:rsid w:val="00055163"/>
    <w:rsid w:val="000601DB"/>
    <w:rsid w:val="00063C2B"/>
    <w:rsid w:val="00063C61"/>
    <w:rsid w:val="00064BCE"/>
    <w:rsid w:val="00066A99"/>
    <w:rsid w:val="000715DF"/>
    <w:rsid w:val="00071DDD"/>
    <w:rsid w:val="000901AC"/>
    <w:rsid w:val="0009481E"/>
    <w:rsid w:val="0009763D"/>
    <w:rsid w:val="000A6F35"/>
    <w:rsid w:val="000A7D76"/>
    <w:rsid w:val="000B1FED"/>
    <w:rsid w:val="000B597B"/>
    <w:rsid w:val="000B74EB"/>
    <w:rsid w:val="000C1D5C"/>
    <w:rsid w:val="000C5134"/>
    <w:rsid w:val="000C6DFA"/>
    <w:rsid w:val="000D439E"/>
    <w:rsid w:val="000D63B4"/>
    <w:rsid w:val="000D7454"/>
    <w:rsid w:val="000D750A"/>
    <w:rsid w:val="000E5293"/>
    <w:rsid w:val="000F41DE"/>
    <w:rsid w:val="000F58CD"/>
    <w:rsid w:val="000F7832"/>
    <w:rsid w:val="000F7DDF"/>
    <w:rsid w:val="00100AE4"/>
    <w:rsid w:val="00102247"/>
    <w:rsid w:val="00102DF4"/>
    <w:rsid w:val="001168E4"/>
    <w:rsid w:val="00122B51"/>
    <w:rsid w:val="00124605"/>
    <w:rsid w:val="00126E45"/>
    <w:rsid w:val="0012772F"/>
    <w:rsid w:val="0012776C"/>
    <w:rsid w:val="0013088C"/>
    <w:rsid w:val="00131C75"/>
    <w:rsid w:val="00132B0C"/>
    <w:rsid w:val="001334F0"/>
    <w:rsid w:val="001335BF"/>
    <w:rsid w:val="001340E1"/>
    <w:rsid w:val="00136F8E"/>
    <w:rsid w:val="00137ABD"/>
    <w:rsid w:val="00140859"/>
    <w:rsid w:val="00140A2C"/>
    <w:rsid w:val="001423C4"/>
    <w:rsid w:val="00146548"/>
    <w:rsid w:val="00147999"/>
    <w:rsid w:val="00150223"/>
    <w:rsid w:val="00150F7F"/>
    <w:rsid w:val="0015172A"/>
    <w:rsid w:val="001520DB"/>
    <w:rsid w:val="00152E83"/>
    <w:rsid w:val="001539BC"/>
    <w:rsid w:val="001551A7"/>
    <w:rsid w:val="001571B5"/>
    <w:rsid w:val="00157B09"/>
    <w:rsid w:val="0016356A"/>
    <w:rsid w:val="00163D33"/>
    <w:rsid w:val="0017051C"/>
    <w:rsid w:val="00170C8F"/>
    <w:rsid w:val="00170DDF"/>
    <w:rsid w:val="00172EAF"/>
    <w:rsid w:val="00175E67"/>
    <w:rsid w:val="00176DBF"/>
    <w:rsid w:val="00180249"/>
    <w:rsid w:val="001810E6"/>
    <w:rsid w:val="00181337"/>
    <w:rsid w:val="00185DCA"/>
    <w:rsid w:val="00186EAD"/>
    <w:rsid w:val="00187B64"/>
    <w:rsid w:val="00187E23"/>
    <w:rsid w:val="00190004"/>
    <w:rsid w:val="0019053E"/>
    <w:rsid w:val="00190BA0"/>
    <w:rsid w:val="00191B81"/>
    <w:rsid w:val="00193AB6"/>
    <w:rsid w:val="0019430C"/>
    <w:rsid w:val="00197EDA"/>
    <w:rsid w:val="001A6BA4"/>
    <w:rsid w:val="001B2777"/>
    <w:rsid w:val="001B5EEA"/>
    <w:rsid w:val="001B660F"/>
    <w:rsid w:val="001C0401"/>
    <w:rsid w:val="001C25D6"/>
    <w:rsid w:val="001C4F7B"/>
    <w:rsid w:val="001D1AAB"/>
    <w:rsid w:val="001D1C3C"/>
    <w:rsid w:val="001D4D0F"/>
    <w:rsid w:val="001D4F9D"/>
    <w:rsid w:val="001D594F"/>
    <w:rsid w:val="001D654E"/>
    <w:rsid w:val="001D765B"/>
    <w:rsid w:val="001E5A74"/>
    <w:rsid w:val="001E5AE7"/>
    <w:rsid w:val="00200291"/>
    <w:rsid w:val="002007E7"/>
    <w:rsid w:val="00201877"/>
    <w:rsid w:val="002030EE"/>
    <w:rsid w:val="0020556D"/>
    <w:rsid w:val="00207B0B"/>
    <w:rsid w:val="002129AC"/>
    <w:rsid w:val="00214EB4"/>
    <w:rsid w:val="0021631C"/>
    <w:rsid w:val="00217C26"/>
    <w:rsid w:val="0022002F"/>
    <w:rsid w:val="0022161B"/>
    <w:rsid w:val="0022204A"/>
    <w:rsid w:val="00223592"/>
    <w:rsid w:val="0022434F"/>
    <w:rsid w:val="00227D9F"/>
    <w:rsid w:val="00232DC0"/>
    <w:rsid w:val="00233529"/>
    <w:rsid w:val="0023355F"/>
    <w:rsid w:val="0023363C"/>
    <w:rsid w:val="00240801"/>
    <w:rsid w:val="00242F1B"/>
    <w:rsid w:val="00242FD8"/>
    <w:rsid w:val="00243297"/>
    <w:rsid w:val="00243B34"/>
    <w:rsid w:val="00252C83"/>
    <w:rsid w:val="00255A06"/>
    <w:rsid w:val="002600D3"/>
    <w:rsid w:val="00261606"/>
    <w:rsid w:val="00263C38"/>
    <w:rsid w:val="00264488"/>
    <w:rsid w:val="00266D99"/>
    <w:rsid w:val="00266F07"/>
    <w:rsid w:val="00270BBE"/>
    <w:rsid w:val="00273E9A"/>
    <w:rsid w:val="00274863"/>
    <w:rsid w:val="00274B7E"/>
    <w:rsid w:val="00280A42"/>
    <w:rsid w:val="00282717"/>
    <w:rsid w:val="00283C22"/>
    <w:rsid w:val="00283F79"/>
    <w:rsid w:val="00284CCC"/>
    <w:rsid w:val="0028661F"/>
    <w:rsid w:val="00295721"/>
    <w:rsid w:val="00295AAA"/>
    <w:rsid w:val="002A3BE8"/>
    <w:rsid w:val="002A3FCB"/>
    <w:rsid w:val="002B76AE"/>
    <w:rsid w:val="002C0902"/>
    <w:rsid w:val="002C1839"/>
    <w:rsid w:val="002C2FE9"/>
    <w:rsid w:val="002C3657"/>
    <w:rsid w:val="002C4927"/>
    <w:rsid w:val="002C50D5"/>
    <w:rsid w:val="002D161E"/>
    <w:rsid w:val="002D1AC0"/>
    <w:rsid w:val="002D6430"/>
    <w:rsid w:val="002E0F1F"/>
    <w:rsid w:val="002F1B99"/>
    <w:rsid w:val="002F548B"/>
    <w:rsid w:val="002F7956"/>
    <w:rsid w:val="00300865"/>
    <w:rsid w:val="003029E4"/>
    <w:rsid w:val="00302EA6"/>
    <w:rsid w:val="00303E38"/>
    <w:rsid w:val="00305A4F"/>
    <w:rsid w:val="00307172"/>
    <w:rsid w:val="00307B4C"/>
    <w:rsid w:val="00311CC5"/>
    <w:rsid w:val="003122C4"/>
    <w:rsid w:val="003131A4"/>
    <w:rsid w:val="00315089"/>
    <w:rsid w:val="0031731F"/>
    <w:rsid w:val="003213DE"/>
    <w:rsid w:val="00321538"/>
    <w:rsid w:val="003222A1"/>
    <w:rsid w:val="00322771"/>
    <w:rsid w:val="0032695A"/>
    <w:rsid w:val="00327FC4"/>
    <w:rsid w:val="003379D5"/>
    <w:rsid w:val="00344DDC"/>
    <w:rsid w:val="00345E9A"/>
    <w:rsid w:val="0035364A"/>
    <w:rsid w:val="003560A9"/>
    <w:rsid w:val="00357767"/>
    <w:rsid w:val="003611ED"/>
    <w:rsid w:val="00361630"/>
    <w:rsid w:val="00366E84"/>
    <w:rsid w:val="00372998"/>
    <w:rsid w:val="00374D98"/>
    <w:rsid w:val="00374DD7"/>
    <w:rsid w:val="00375637"/>
    <w:rsid w:val="0038092A"/>
    <w:rsid w:val="00381381"/>
    <w:rsid w:val="003834D2"/>
    <w:rsid w:val="00386E14"/>
    <w:rsid w:val="00387872"/>
    <w:rsid w:val="003879E5"/>
    <w:rsid w:val="00392737"/>
    <w:rsid w:val="00395146"/>
    <w:rsid w:val="0039515E"/>
    <w:rsid w:val="003A5758"/>
    <w:rsid w:val="003B00B6"/>
    <w:rsid w:val="003B0FA9"/>
    <w:rsid w:val="003B28A7"/>
    <w:rsid w:val="003B7506"/>
    <w:rsid w:val="003C2854"/>
    <w:rsid w:val="003C7360"/>
    <w:rsid w:val="003E12CD"/>
    <w:rsid w:val="003E7553"/>
    <w:rsid w:val="003F02A4"/>
    <w:rsid w:val="003F0355"/>
    <w:rsid w:val="003F094B"/>
    <w:rsid w:val="003F1288"/>
    <w:rsid w:val="003F65DC"/>
    <w:rsid w:val="004010DD"/>
    <w:rsid w:val="004016AF"/>
    <w:rsid w:val="0040772B"/>
    <w:rsid w:val="004111D0"/>
    <w:rsid w:val="00413A00"/>
    <w:rsid w:val="004144F8"/>
    <w:rsid w:val="004224B4"/>
    <w:rsid w:val="00422D49"/>
    <w:rsid w:val="004276AC"/>
    <w:rsid w:val="004320B2"/>
    <w:rsid w:val="00433A7B"/>
    <w:rsid w:val="004345E5"/>
    <w:rsid w:val="0044037C"/>
    <w:rsid w:val="004414C4"/>
    <w:rsid w:val="004414D7"/>
    <w:rsid w:val="00442379"/>
    <w:rsid w:val="004433C1"/>
    <w:rsid w:val="004449D0"/>
    <w:rsid w:val="004503E5"/>
    <w:rsid w:val="004506C8"/>
    <w:rsid w:val="00451CF1"/>
    <w:rsid w:val="00454B52"/>
    <w:rsid w:val="0046269F"/>
    <w:rsid w:val="00464096"/>
    <w:rsid w:val="00464459"/>
    <w:rsid w:val="00475B01"/>
    <w:rsid w:val="00475C17"/>
    <w:rsid w:val="0047676D"/>
    <w:rsid w:val="00480FE2"/>
    <w:rsid w:val="00482058"/>
    <w:rsid w:val="00482957"/>
    <w:rsid w:val="00482A66"/>
    <w:rsid w:val="00484FB2"/>
    <w:rsid w:val="0048553D"/>
    <w:rsid w:val="00487F6A"/>
    <w:rsid w:val="004910ED"/>
    <w:rsid w:val="00494DD8"/>
    <w:rsid w:val="004A2A06"/>
    <w:rsid w:val="004A43E2"/>
    <w:rsid w:val="004A6964"/>
    <w:rsid w:val="004B2308"/>
    <w:rsid w:val="004B23C2"/>
    <w:rsid w:val="004B3CE4"/>
    <w:rsid w:val="004B5D6B"/>
    <w:rsid w:val="004B5FA7"/>
    <w:rsid w:val="004B6DB8"/>
    <w:rsid w:val="004B6E80"/>
    <w:rsid w:val="004B7766"/>
    <w:rsid w:val="004C0B7A"/>
    <w:rsid w:val="004C546B"/>
    <w:rsid w:val="004D043A"/>
    <w:rsid w:val="004D3470"/>
    <w:rsid w:val="004D59CA"/>
    <w:rsid w:val="004E18BE"/>
    <w:rsid w:val="004E27BD"/>
    <w:rsid w:val="004E2BA2"/>
    <w:rsid w:val="004E5450"/>
    <w:rsid w:val="004E5CE5"/>
    <w:rsid w:val="004E7C94"/>
    <w:rsid w:val="0050179F"/>
    <w:rsid w:val="00512E47"/>
    <w:rsid w:val="00513E49"/>
    <w:rsid w:val="00525290"/>
    <w:rsid w:val="005253C4"/>
    <w:rsid w:val="00530F14"/>
    <w:rsid w:val="00534B6A"/>
    <w:rsid w:val="005355A4"/>
    <w:rsid w:val="005375B2"/>
    <w:rsid w:val="0054056C"/>
    <w:rsid w:val="00544D98"/>
    <w:rsid w:val="005460CF"/>
    <w:rsid w:val="005505C6"/>
    <w:rsid w:val="005549BB"/>
    <w:rsid w:val="00556109"/>
    <w:rsid w:val="0056274D"/>
    <w:rsid w:val="005669E7"/>
    <w:rsid w:val="00570100"/>
    <w:rsid w:val="005727D6"/>
    <w:rsid w:val="00581490"/>
    <w:rsid w:val="00582125"/>
    <w:rsid w:val="0058264F"/>
    <w:rsid w:val="0058306C"/>
    <w:rsid w:val="0058379E"/>
    <w:rsid w:val="00584B64"/>
    <w:rsid w:val="00584EF2"/>
    <w:rsid w:val="00594A76"/>
    <w:rsid w:val="00597146"/>
    <w:rsid w:val="005975B3"/>
    <w:rsid w:val="005A0EF9"/>
    <w:rsid w:val="005B21C0"/>
    <w:rsid w:val="005B31DD"/>
    <w:rsid w:val="005B41F6"/>
    <w:rsid w:val="005B7AB5"/>
    <w:rsid w:val="005C1DB6"/>
    <w:rsid w:val="005C2BC0"/>
    <w:rsid w:val="005D08D7"/>
    <w:rsid w:val="005D24E5"/>
    <w:rsid w:val="005D437B"/>
    <w:rsid w:val="005D47AC"/>
    <w:rsid w:val="005D59FD"/>
    <w:rsid w:val="005D7ABD"/>
    <w:rsid w:val="005E1561"/>
    <w:rsid w:val="005E4B1B"/>
    <w:rsid w:val="005E50C9"/>
    <w:rsid w:val="005F03CF"/>
    <w:rsid w:val="005F534D"/>
    <w:rsid w:val="005F56E5"/>
    <w:rsid w:val="005F6BFF"/>
    <w:rsid w:val="006001D2"/>
    <w:rsid w:val="00602139"/>
    <w:rsid w:val="006026CF"/>
    <w:rsid w:val="0060458B"/>
    <w:rsid w:val="00606D7E"/>
    <w:rsid w:val="0061349B"/>
    <w:rsid w:val="00614B74"/>
    <w:rsid w:val="00614BE9"/>
    <w:rsid w:val="00615766"/>
    <w:rsid w:val="006168CA"/>
    <w:rsid w:val="00620437"/>
    <w:rsid w:val="006204B5"/>
    <w:rsid w:val="006254CA"/>
    <w:rsid w:val="00625645"/>
    <w:rsid w:val="006257B3"/>
    <w:rsid w:val="00626D9F"/>
    <w:rsid w:val="00631531"/>
    <w:rsid w:val="00631B9A"/>
    <w:rsid w:val="006433FD"/>
    <w:rsid w:val="0064798A"/>
    <w:rsid w:val="00651C04"/>
    <w:rsid w:val="00654C51"/>
    <w:rsid w:val="00655AA1"/>
    <w:rsid w:val="00655BD4"/>
    <w:rsid w:val="00656E70"/>
    <w:rsid w:val="0066122B"/>
    <w:rsid w:val="00662B02"/>
    <w:rsid w:val="00662BCC"/>
    <w:rsid w:val="00666DAD"/>
    <w:rsid w:val="006674C1"/>
    <w:rsid w:val="006725E0"/>
    <w:rsid w:val="006756E8"/>
    <w:rsid w:val="00676CD7"/>
    <w:rsid w:val="00677BE6"/>
    <w:rsid w:val="0068286B"/>
    <w:rsid w:val="00687BF8"/>
    <w:rsid w:val="00690913"/>
    <w:rsid w:val="00691ABA"/>
    <w:rsid w:val="00693590"/>
    <w:rsid w:val="00695E19"/>
    <w:rsid w:val="006A27BD"/>
    <w:rsid w:val="006A327C"/>
    <w:rsid w:val="006A3A25"/>
    <w:rsid w:val="006B08A2"/>
    <w:rsid w:val="006B17DF"/>
    <w:rsid w:val="006B3579"/>
    <w:rsid w:val="006B3612"/>
    <w:rsid w:val="006C7EB3"/>
    <w:rsid w:val="006D04A4"/>
    <w:rsid w:val="006D0958"/>
    <w:rsid w:val="006D0A66"/>
    <w:rsid w:val="006D196B"/>
    <w:rsid w:val="006D50E7"/>
    <w:rsid w:val="006D6483"/>
    <w:rsid w:val="006E3A2F"/>
    <w:rsid w:val="006E4BAF"/>
    <w:rsid w:val="006E69D9"/>
    <w:rsid w:val="006F58DA"/>
    <w:rsid w:val="007017D1"/>
    <w:rsid w:val="00701D18"/>
    <w:rsid w:val="007020E1"/>
    <w:rsid w:val="00704713"/>
    <w:rsid w:val="00710822"/>
    <w:rsid w:val="00711E37"/>
    <w:rsid w:val="00714AA2"/>
    <w:rsid w:val="00715B97"/>
    <w:rsid w:val="00721059"/>
    <w:rsid w:val="007217E8"/>
    <w:rsid w:val="00721B64"/>
    <w:rsid w:val="00725786"/>
    <w:rsid w:val="0072618F"/>
    <w:rsid w:val="0073376A"/>
    <w:rsid w:val="00737ED2"/>
    <w:rsid w:val="00740741"/>
    <w:rsid w:val="00741B8D"/>
    <w:rsid w:val="00741F91"/>
    <w:rsid w:val="00742236"/>
    <w:rsid w:val="007424EA"/>
    <w:rsid w:val="00743FFD"/>
    <w:rsid w:val="007527C3"/>
    <w:rsid w:val="00752921"/>
    <w:rsid w:val="00752F7B"/>
    <w:rsid w:val="00756671"/>
    <w:rsid w:val="00761C76"/>
    <w:rsid w:val="007653BA"/>
    <w:rsid w:val="0076699F"/>
    <w:rsid w:val="00767E28"/>
    <w:rsid w:val="007727F1"/>
    <w:rsid w:val="00772D1F"/>
    <w:rsid w:val="007732A2"/>
    <w:rsid w:val="007749B2"/>
    <w:rsid w:val="007752AE"/>
    <w:rsid w:val="00776391"/>
    <w:rsid w:val="007768EF"/>
    <w:rsid w:val="007801CE"/>
    <w:rsid w:val="00786902"/>
    <w:rsid w:val="00793386"/>
    <w:rsid w:val="0079483C"/>
    <w:rsid w:val="00794EE5"/>
    <w:rsid w:val="007A13AE"/>
    <w:rsid w:val="007A2243"/>
    <w:rsid w:val="007A29D6"/>
    <w:rsid w:val="007A2AA3"/>
    <w:rsid w:val="007A2F54"/>
    <w:rsid w:val="007A2F60"/>
    <w:rsid w:val="007A473E"/>
    <w:rsid w:val="007B2635"/>
    <w:rsid w:val="007B3BE7"/>
    <w:rsid w:val="007B4096"/>
    <w:rsid w:val="007C2C8C"/>
    <w:rsid w:val="007C3EDE"/>
    <w:rsid w:val="007C4599"/>
    <w:rsid w:val="007C6F98"/>
    <w:rsid w:val="007C7B8F"/>
    <w:rsid w:val="007D0793"/>
    <w:rsid w:val="007D1595"/>
    <w:rsid w:val="007D2815"/>
    <w:rsid w:val="007D3F3A"/>
    <w:rsid w:val="007D41DA"/>
    <w:rsid w:val="007D508D"/>
    <w:rsid w:val="007D6FB2"/>
    <w:rsid w:val="007D7611"/>
    <w:rsid w:val="007E04B5"/>
    <w:rsid w:val="007E0AF4"/>
    <w:rsid w:val="007E0F1F"/>
    <w:rsid w:val="007E40D4"/>
    <w:rsid w:val="007E41A7"/>
    <w:rsid w:val="007F3F3F"/>
    <w:rsid w:val="007F415F"/>
    <w:rsid w:val="007F4EE4"/>
    <w:rsid w:val="007F515E"/>
    <w:rsid w:val="007F53E0"/>
    <w:rsid w:val="008018D1"/>
    <w:rsid w:val="0080430E"/>
    <w:rsid w:val="00806123"/>
    <w:rsid w:val="00811837"/>
    <w:rsid w:val="00812D19"/>
    <w:rsid w:val="00815682"/>
    <w:rsid w:val="008349FF"/>
    <w:rsid w:val="00842DA1"/>
    <w:rsid w:val="0084332B"/>
    <w:rsid w:val="00845017"/>
    <w:rsid w:val="00846B4C"/>
    <w:rsid w:val="0085026C"/>
    <w:rsid w:val="00850A32"/>
    <w:rsid w:val="00857AF7"/>
    <w:rsid w:val="0086158C"/>
    <w:rsid w:val="00865ED6"/>
    <w:rsid w:val="0087001D"/>
    <w:rsid w:val="00870977"/>
    <w:rsid w:val="0087186E"/>
    <w:rsid w:val="00871B13"/>
    <w:rsid w:val="00881A05"/>
    <w:rsid w:val="00882AF7"/>
    <w:rsid w:val="00882E4F"/>
    <w:rsid w:val="00886B2B"/>
    <w:rsid w:val="00887EEC"/>
    <w:rsid w:val="008916EF"/>
    <w:rsid w:val="00891777"/>
    <w:rsid w:val="00892082"/>
    <w:rsid w:val="00893D4C"/>
    <w:rsid w:val="00896AE2"/>
    <w:rsid w:val="00897854"/>
    <w:rsid w:val="008A1F15"/>
    <w:rsid w:val="008A3B1F"/>
    <w:rsid w:val="008A3D1E"/>
    <w:rsid w:val="008A5207"/>
    <w:rsid w:val="008A7B33"/>
    <w:rsid w:val="008B11AF"/>
    <w:rsid w:val="008B1A60"/>
    <w:rsid w:val="008B39F3"/>
    <w:rsid w:val="008B60EC"/>
    <w:rsid w:val="008C1DE2"/>
    <w:rsid w:val="008C53E8"/>
    <w:rsid w:val="008D0D7C"/>
    <w:rsid w:val="008D1D4B"/>
    <w:rsid w:val="008D4116"/>
    <w:rsid w:val="008D42DB"/>
    <w:rsid w:val="008E0155"/>
    <w:rsid w:val="008E1B2C"/>
    <w:rsid w:val="008E2A49"/>
    <w:rsid w:val="008E6331"/>
    <w:rsid w:val="008F186C"/>
    <w:rsid w:val="008F25A7"/>
    <w:rsid w:val="008F2AF6"/>
    <w:rsid w:val="008F48FC"/>
    <w:rsid w:val="008F7118"/>
    <w:rsid w:val="009052A4"/>
    <w:rsid w:val="0090629C"/>
    <w:rsid w:val="00906E35"/>
    <w:rsid w:val="00914905"/>
    <w:rsid w:val="009209AE"/>
    <w:rsid w:val="00922BCE"/>
    <w:rsid w:val="00927A2F"/>
    <w:rsid w:val="009307FC"/>
    <w:rsid w:val="00933042"/>
    <w:rsid w:val="00935A03"/>
    <w:rsid w:val="0094065D"/>
    <w:rsid w:val="00944F04"/>
    <w:rsid w:val="0094549E"/>
    <w:rsid w:val="00946170"/>
    <w:rsid w:val="00951A12"/>
    <w:rsid w:val="0095202D"/>
    <w:rsid w:val="0095212B"/>
    <w:rsid w:val="00957CA8"/>
    <w:rsid w:val="009610B9"/>
    <w:rsid w:val="00961FFC"/>
    <w:rsid w:val="00964D48"/>
    <w:rsid w:val="0097279D"/>
    <w:rsid w:val="00975F52"/>
    <w:rsid w:val="0098471E"/>
    <w:rsid w:val="00987845"/>
    <w:rsid w:val="00990BEB"/>
    <w:rsid w:val="0099632C"/>
    <w:rsid w:val="00997473"/>
    <w:rsid w:val="00997E80"/>
    <w:rsid w:val="009A791B"/>
    <w:rsid w:val="009A7957"/>
    <w:rsid w:val="009B0176"/>
    <w:rsid w:val="009B62D8"/>
    <w:rsid w:val="009C0C33"/>
    <w:rsid w:val="009C452C"/>
    <w:rsid w:val="009C5AB0"/>
    <w:rsid w:val="009C6D45"/>
    <w:rsid w:val="009D313B"/>
    <w:rsid w:val="009D3846"/>
    <w:rsid w:val="009D7D40"/>
    <w:rsid w:val="009E2727"/>
    <w:rsid w:val="009E4C7D"/>
    <w:rsid w:val="009E538D"/>
    <w:rsid w:val="009E7909"/>
    <w:rsid w:val="009F5BD1"/>
    <w:rsid w:val="009F635B"/>
    <w:rsid w:val="009F6CEF"/>
    <w:rsid w:val="00A03009"/>
    <w:rsid w:val="00A03822"/>
    <w:rsid w:val="00A06D61"/>
    <w:rsid w:val="00A12B9F"/>
    <w:rsid w:val="00A12C02"/>
    <w:rsid w:val="00A1487A"/>
    <w:rsid w:val="00A17306"/>
    <w:rsid w:val="00A23528"/>
    <w:rsid w:val="00A25867"/>
    <w:rsid w:val="00A25CA1"/>
    <w:rsid w:val="00A307D5"/>
    <w:rsid w:val="00A35B8A"/>
    <w:rsid w:val="00A37C39"/>
    <w:rsid w:val="00A509D2"/>
    <w:rsid w:val="00A52C4B"/>
    <w:rsid w:val="00A56242"/>
    <w:rsid w:val="00A56539"/>
    <w:rsid w:val="00A61052"/>
    <w:rsid w:val="00A64BB6"/>
    <w:rsid w:val="00A65D62"/>
    <w:rsid w:val="00A67B18"/>
    <w:rsid w:val="00A67D01"/>
    <w:rsid w:val="00A70694"/>
    <w:rsid w:val="00A7091C"/>
    <w:rsid w:val="00A72F17"/>
    <w:rsid w:val="00A7334A"/>
    <w:rsid w:val="00A749D7"/>
    <w:rsid w:val="00A75372"/>
    <w:rsid w:val="00A83443"/>
    <w:rsid w:val="00A8365D"/>
    <w:rsid w:val="00A8461B"/>
    <w:rsid w:val="00A85883"/>
    <w:rsid w:val="00A87AA6"/>
    <w:rsid w:val="00A931C5"/>
    <w:rsid w:val="00A942EA"/>
    <w:rsid w:val="00A97D4B"/>
    <w:rsid w:val="00AA12CC"/>
    <w:rsid w:val="00AA291B"/>
    <w:rsid w:val="00AA3A29"/>
    <w:rsid w:val="00AA3D2F"/>
    <w:rsid w:val="00AA44E9"/>
    <w:rsid w:val="00AA4BF3"/>
    <w:rsid w:val="00AA5313"/>
    <w:rsid w:val="00AA6247"/>
    <w:rsid w:val="00AB4A8A"/>
    <w:rsid w:val="00AB72E5"/>
    <w:rsid w:val="00AC0371"/>
    <w:rsid w:val="00AC6AB2"/>
    <w:rsid w:val="00AD0AFC"/>
    <w:rsid w:val="00AD0DF4"/>
    <w:rsid w:val="00AD1D69"/>
    <w:rsid w:val="00AD1E74"/>
    <w:rsid w:val="00AD1FBE"/>
    <w:rsid w:val="00AE07E6"/>
    <w:rsid w:val="00AE4EBC"/>
    <w:rsid w:val="00AE6359"/>
    <w:rsid w:val="00AE722D"/>
    <w:rsid w:val="00AF04C9"/>
    <w:rsid w:val="00AF40FD"/>
    <w:rsid w:val="00AF5846"/>
    <w:rsid w:val="00B0050B"/>
    <w:rsid w:val="00B016C3"/>
    <w:rsid w:val="00B02942"/>
    <w:rsid w:val="00B02951"/>
    <w:rsid w:val="00B03004"/>
    <w:rsid w:val="00B038B3"/>
    <w:rsid w:val="00B07AA6"/>
    <w:rsid w:val="00B100AD"/>
    <w:rsid w:val="00B112CF"/>
    <w:rsid w:val="00B12D94"/>
    <w:rsid w:val="00B13CE6"/>
    <w:rsid w:val="00B1588E"/>
    <w:rsid w:val="00B165C2"/>
    <w:rsid w:val="00B17486"/>
    <w:rsid w:val="00B20739"/>
    <w:rsid w:val="00B211E8"/>
    <w:rsid w:val="00B233D3"/>
    <w:rsid w:val="00B23A04"/>
    <w:rsid w:val="00B27034"/>
    <w:rsid w:val="00B312D4"/>
    <w:rsid w:val="00B3298B"/>
    <w:rsid w:val="00B37B65"/>
    <w:rsid w:val="00B37CCC"/>
    <w:rsid w:val="00B40781"/>
    <w:rsid w:val="00B4205C"/>
    <w:rsid w:val="00B43767"/>
    <w:rsid w:val="00B44CEE"/>
    <w:rsid w:val="00B52140"/>
    <w:rsid w:val="00B610ED"/>
    <w:rsid w:val="00B620CB"/>
    <w:rsid w:val="00B62961"/>
    <w:rsid w:val="00B719DF"/>
    <w:rsid w:val="00B748AA"/>
    <w:rsid w:val="00B8011E"/>
    <w:rsid w:val="00B80899"/>
    <w:rsid w:val="00B80E40"/>
    <w:rsid w:val="00B82353"/>
    <w:rsid w:val="00B83B3A"/>
    <w:rsid w:val="00B840D6"/>
    <w:rsid w:val="00B842ED"/>
    <w:rsid w:val="00B917F1"/>
    <w:rsid w:val="00B94A7A"/>
    <w:rsid w:val="00B95240"/>
    <w:rsid w:val="00B96537"/>
    <w:rsid w:val="00BA2372"/>
    <w:rsid w:val="00BA3E29"/>
    <w:rsid w:val="00BA412D"/>
    <w:rsid w:val="00BA73DB"/>
    <w:rsid w:val="00BB3B38"/>
    <w:rsid w:val="00BC01E1"/>
    <w:rsid w:val="00BC0B32"/>
    <w:rsid w:val="00BC2B8D"/>
    <w:rsid w:val="00BC3CBE"/>
    <w:rsid w:val="00BC3EBB"/>
    <w:rsid w:val="00BC4166"/>
    <w:rsid w:val="00BC468C"/>
    <w:rsid w:val="00BC53F5"/>
    <w:rsid w:val="00BC5B43"/>
    <w:rsid w:val="00BD0BFC"/>
    <w:rsid w:val="00BD54A3"/>
    <w:rsid w:val="00BE1C3E"/>
    <w:rsid w:val="00BE5DD5"/>
    <w:rsid w:val="00BE779A"/>
    <w:rsid w:val="00BF062A"/>
    <w:rsid w:val="00BF0E55"/>
    <w:rsid w:val="00BF0EB6"/>
    <w:rsid w:val="00BF4474"/>
    <w:rsid w:val="00C002CF"/>
    <w:rsid w:val="00C03AAD"/>
    <w:rsid w:val="00C13ACB"/>
    <w:rsid w:val="00C146FB"/>
    <w:rsid w:val="00C163FC"/>
    <w:rsid w:val="00C1752E"/>
    <w:rsid w:val="00C175B1"/>
    <w:rsid w:val="00C20164"/>
    <w:rsid w:val="00C2090E"/>
    <w:rsid w:val="00C20C0E"/>
    <w:rsid w:val="00C34C83"/>
    <w:rsid w:val="00C36E5F"/>
    <w:rsid w:val="00C402AE"/>
    <w:rsid w:val="00C466C2"/>
    <w:rsid w:val="00C500B4"/>
    <w:rsid w:val="00C50299"/>
    <w:rsid w:val="00C518AC"/>
    <w:rsid w:val="00C5242A"/>
    <w:rsid w:val="00C53AE8"/>
    <w:rsid w:val="00C54200"/>
    <w:rsid w:val="00C54946"/>
    <w:rsid w:val="00C55D79"/>
    <w:rsid w:val="00C637E9"/>
    <w:rsid w:val="00C64B18"/>
    <w:rsid w:val="00C67ED0"/>
    <w:rsid w:val="00C72125"/>
    <w:rsid w:val="00C732FF"/>
    <w:rsid w:val="00C752A6"/>
    <w:rsid w:val="00C80C80"/>
    <w:rsid w:val="00C8553A"/>
    <w:rsid w:val="00C86A00"/>
    <w:rsid w:val="00C900DF"/>
    <w:rsid w:val="00C93405"/>
    <w:rsid w:val="00C95A64"/>
    <w:rsid w:val="00C96380"/>
    <w:rsid w:val="00CA1929"/>
    <w:rsid w:val="00CA29EF"/>
    <w:rsid w:val="00CA44AC"/>
    <w:rsid w:val="00CA505A"/>
    <w:rsid w:val="00CA59ED"/>
    <w:rsid w:val="00CA6AF5"/>
    <w:rsid w:val="00CB0B07"/>
    <w:rsid w:val="00CB22F3"/>
    <w:rsid w:val="00CB332A"/>
    <w:rsid w:val="00CB3E86"/>
    <w:rsid w:val="00CC0F67"/>
    <w:rsid w:val="00CC3361"/>
    <w:rsid w:val="00CC4160"/>
    <w:rsid w:val="00CC6AC0"/>
    <w:rsid w:val="00CC7804"/>
    <w:rsid w:val="00CC7F79"/>
    <w:rsid w:val="00CD3752"/>
    <w:rsid w:val="00CD61DA"/>
    <w:rsid w:val="00CD6E7E"/>
    <w:rsid w:val="00CE11EC"/>
    <w:rsid w:val="00CE2CE1"/>
    <w:rsid w:val="00CE5EC8"/>
    <w:rsid w:val="00CF373E"/>
    <w:rsid w:val="00CF43A1"/>
    <w:rsid w:val="00D0722B"/>
    <w:rsid w:val="00D10559"/>
    <w:rsid w:val="00D11236"/>
    <w:rsid w:val="00D13B4B"/>
    <w:rsid w:val="00D172C5"/>
    <w:rsid w:val="00D2582B"/>
    <w:rsid w:val="00D32C3C"/>
    <w:rsid w:val="00D36E96"/>
    <w:rsid w:val="00D4457F"/>
    <w:rsid w:val="00D446AE"/>
    <w:rsid w:val="00D45937"/>
    <w:rsid w:val="00D50BE0"/>
    <w:rsid w:val="00D51148"/>
    <w:rsid w:val="00D515F4"/>
    <w:rsid w:val="00D52A5B"/>
    <w:rsid w:val="00D5339A"/>
    <w:rsid w:val="00D558F3"/>
    <w:rsid w:val="00D57CBE"/>
    <w:rsid w:val="00D6038C"/>
    <w:rsid w:val="00D646ED"/>
    <w:rsid w:val="00D70F27"/>
    <w:rsid w:val="00D72CE6"/>
    <w:rsid w:val="00D73752"/>
    <w:rsid w:val="00D856A3"/>
    <w:rsid w:val="00D86EE9"/>
    <w:rsid w:val="00D90A86"/>
    <w:rsid w:val="00D931C0"/>
    <w:rsid w:val="00D93373"/>
    <w:rsid w:val="00D96E88"/>
    <w:rsid w:val="00DA4DDC"/>
    <w:rsid w:val="00DB0FB9"/>
    <w:rsid w:val="00DB1512"/>
    <w:rsid w:val="00DB2522"/>
    <w:rsid w:val="00DB3C94"/>
    <w:rsid w:val="00DB44A1"/>
    <w:rsid w:val="00DB55C1"/>
    <w:rsid w:val="00DB7B6A"/>
    <w:rsid w:val="00DC007D"/>
    <w:rsid w:val="00DC36DB"/>
    <w:rsid w:val="00DC3E78"/>
    <w:rsid w:val="00DC7963"/>
    <w:rsid w:val="00DD059B"/>
    <w:rsid w:val="00DD4717"/>
    <w:rsid w:val="00DD734A"/>
    <w:rsid w:val="00DE148D"/>
    <w:rsid w:val="00DE7888"/>
    <w:rsid w:val="00DF6403"/>
    <w:rsid w:val="00DF772E"/>
    <w:rsid w:val="00E033E6"/>
    <w:rsid w:val="00E127E6"/>
    <w:rsid w:val="00E153FD"/>
    <w:rsid w:val="00E15AAD"/>
    <w:rsid w:val="00E15FD2"/>
    <w:rsid w:val="00E22E75"/>
    <w:rsid w:val="00E320FF"/>
    <w:rsid w:val="00E33EB2"/>
    <w:rsid w:val="00E34813"/>
    <w:rsid w:val="00E365FA"/>
    <w:rsid w:val="00E37917"/>
    <w:rsid w:val="00E41895"/>
    <w:rsid w:val="00E50615"/>
    <w:rsid w:val="00E51C9C"/>
    <w:rsid w:val="00E534FE"/>
    <w:rsid w:val="00E55593"/>
    <w:rsid w:val="00E57882"/>
    <w:rsid w:val="00E57A57"/>
    <w:rsid w:val="00E617BE"/>
    <w:rsid w:val="00E63827"/>
    <w:rsid w:val="00E65060"/>
    <w:rsid w:val="00E6532F"/>
    <w:rsid w:val="00E73770"/>
    <w:rsid w:val="00E77524"/>
    <w:rsid w:val="00E80938"/>
    <w:rsid w:val="00E80983"/>
    <w:rsid w:val="00E84D5F"/>
    <w:rsid w:val="00EA2900"/>
    <w:rsid w:val="00EA719D"/>
    <w:rsid w:val="00EB17EA"/>
    <w:rsid w:val="00EB73BA"/>
    <w:rsid w:val="00EC0A4B"/>
    <w:rsid w:val="00EC12F9"/>
    <w:rsid w:val="00EC3440"/>
    <w:rsid w:val="00EC459F"/>
    <w:rsid w:val="00EC6258"/>
    <w:rsid w:val="00EC662C"/>
    <w:rsid w:val="00EC6D97"/>
    <w:rsid w:val="00ED0EF1"/>
    <w:rsid w:val="00ED157B"/>
    <w:rsid w:val="00ED5947"/>
    <w:rsid w:val="00EE2562"/>
    <w:rsid w:val="00EE6659"/>
    <w:rsid w:val="00EF0828"/>
    <w:rsid w:val="00EF141C"/>
    <w:rsid w:val="00EF75B1"/>
    <w:rsid w:val="00EF7E79"/>
    <w:rsid w:val="00F0298E"/>
    <w:rsid w:val="00F03839"/>
    <w:rsid w:val="00F041F8"/>
    <w:rsid w:val="00F05FD6"/>
    <w:rsid w:val="00F0781C"/>
    <w:rsid w:val="00F12CBC"/>
    <w:rsid w:val="00F13439"/>
    <w:rsid w:val="00F16069"/>
    <w:rsid w:val="00F16361"/>
    <w:rsid w:val="00F16B80"/>
    <w:rsid w:val="00F17C1C"/>
    <w:rsid w:val="00F20206"/>
    <w:rsid w:val="00F20E98"/>
    <w:rsid w:val="00F26831"/>
    <w:rsid w:val="00F30864"/>
    <w:rsid w:val="00F30A53"/>
    <w:rsid w:val="00F43326"/>
    <w:rsid w:val="00F4521E"/>
    <w:rsid w:val="00F45519"/>
    <w:rsid w:val="00F510FD"/>
    <w:rsid w:val="00F51B24"/>
    <w:rsid w:val="00F55A87"/>
    <w:rsid w:val="00F56D2D"/>
    <w:rsid w:val="00F577F1"/>
    <w:rsid w:val="00F5794B"/>
    <w:rsid w:val="00F61D4C"/>
    <w:rsid w:val="00F634D2"/>
    <w:rsid w:val="00F6568D"/>
    <w:rsid w:val="00F711A8"/>
    <w:rsid w:val="00F7214F"/>
    <w:rsid w:val="00F72FF3"/>
    <w:rsid w:val="00F80217"/>
    <w:rsid w:val="00F82512"/>
    <w:rsid w:val="00F82E90"/>
    <w:rsid w:val="00F84B51"/>
    <w:rsid w:val="00F903EB"/>
    <w:rsid w:val="00F97545"/>
    <w:rsid w:val="00FA578D"/>
    <w:rsid w:val="00FA79A8"/>
    <w:rsid w:val="00FB356E"/>
    <w:rsid w:val="00FB4AC2"/>
    <w:rsid w:val="00FB64B2"/>
    <w:rsid w:val="00FB7753"/>
    <w:rsid w:val="00FC31C0"/>
    <w:rsid w:val="00FC3D5F"/>
    <w:rsid w:val="00FC4245"/>
    <w:rsid w:val="00FE411C"/>
    <w:rsid w:val="00FE7984"/>
    <w:rsid w:val="00FF3660"/>
    <w:rsid w:val="00FF4297"/>
    <w:rsid w:val="00FF54E9"/>
    <w:rsid w:val="05AF34FB"/>
    <w:rsid w:val="0804579A"/>
    <w:rsid w:val="16AB6A85"/>
    <w:rsid w:val="1AC02FEA"/>
    <w:rsid w:val="1B8C6A50"/>
    <w:rsid w:val="2425526A"/>
    <w:rsid w:val="262D59BF"/>
    <w:rsid w:val="2AF85FE8"/>
    <w:rsid w:val="302F4A41"/>
    <w:rsid w:val="304E2788"/>
    <w:rsid w:val="3C241B9C"/>
    <w:rsid w:val="47E21F3C"/>
    <w:rsid w:val="5C5D5C2A"/>
    <w:rsid w:val="61831668"/>
    <w:rsid w:val="62F408C1"/>
    <w:rsid w:val="647826BA"/>
    <w:rsid w:val="65F33E30"/>
    <w:rsid w:val="66C268A6"/>
    <w:rsid w:val="67485AF8"/>
    <w:rsid w:val="68580933"/>
    <w:rsid w:val="68B719BE"/>
    <w:rsid w:val="77D20D57"/>
    <w:rsid w:val="7C6442E6"/>
    <w:rsid w:val="7E615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spacing w:before="120" w:after="120" w:line="240" w:lineRule="auto"/>
      <w:jc w:val="center"/>
      <w:outlineLvl w:val="0"/>
    </w:pPr>
    <w:rPr>
      <w:kern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7">
    <w:name w:val="toc 7"/>
    <w:basedOn w:val="1"/>
    <w:next w:val="1"/>
    <w:unhideWhenUsed/>
    <w:qFormat/>
    <w:uiPriority w:val="39"/>
    <w:pPr>
      <w:ind w:left="1260"/>
      <w:jc w:val="left"/>
    </w:pPr>
    <w:rPr>
      <w:rFonts w:asciiTheme="minorHAnsi" w:hAnsiTheme="minorHAnsi"/>
      <w:sz w:val="18"/>
      <w:szCs w:val="18"/>
    </w:rPr>
  </w:style>
  <w:style w:type="paragraph" w:styleId="8">
    <w:name w:val="Normal Indent"/>
    <w:basedOn w:val="1"/>
    <w:link w:val="43"/>
    <w:qFormat/>
    <w:uiPriority w:val="0"/>
    <w:pPr>
      <w:ind w:firstLine="420" w:firstLineChars="200"/>
    </w:pPr>
  </w:style>
  <w:style w:type="paragraph" w:styleId="9">
    <w:name w:val="Document Map"/>
    <w:basedOn w:val="1"/>
    <w:link w:val="44"/>
    <w:semiHidden/>
    <w:qFormat/>
    <w:uiPriority w:val="0"/>
    <w:pPr>
      <w:shd w:val="clear" w:color="auto" w:fill="000080"/>
    </w:pPr>
  </w:style>
  <w:style w:type="paragraph" w:styleId="10">
    <w:name w:val="annotation text"/>
    <w:basedOn w:val="1"/>
    <w:link w:val="41"/>
    <w:qFormat/>
    <w:uiPriority w:val="99"/>
    <w:pPr>
      <w:jc w:val="left"/>
    </w:pPr>
  </w:style>
  <w:style w:type="paragraph" w:styleId="11">
    <w:name w:val="Body Text"/>
    <w:basedOn w:val="1"/>
    <w:link w:val="45"/>
    <w:qFormat/>
    <w:uiPriority w:val="0"/>
    <w:pPr>
      <w:spacing w:after="120"/>
    </w:pPr>
  </w:style>
  <w:style w:type="paragraph" w:styleId="12">
    <w:name w:val="toc 5"/>
    <w:basedOn w:val="1"/>
    <w:next w:val="1"/>
    <w:unhideWhenUsed/>
    <w:qFormat/>
    <w:uiPriority w:val="39"/>
    <w:pPr>
      <w:ind w:left="840"/>
      <w:jc w:val="left"/>
    </w:pPr>
    <w:rPr>
      <w:rFonts w:asciiTheme="minorHAnsi" w:hAnsiTheme="minorHAnsi"/>
      <w:sz w:val="18"/>
      <w:szCs w:val="18"/>
    </w:rPr>
  </w:style>
  <w:style w:type="paragraph" w:styleId="13">
    <w:name w:val="toc 3"/>
    <w:basedOn w:val="1"/>
    <w:next w:val="1"/>
    <w:unhideWhenUsed/>
    <w:qFormat/>
    <w:uiPriority w:val="39"/>
    <w:pPr>
      <w:ind w:left="420"/>
      <w:jc w:val="left"/>
    </w:pPr>
    <w:rPr>
      <w:rFonts w:asciiTheme="minorHAnsi" w:hAnsiTheme="minorHAnsi"/>
      <w:i/>
      <w:iCs/>
      <w:sz w:val="20"/>
      <w:szCs w:val="20"/>
    </w:rPr>
  </w:style>
  <w:style w:type="paragraph" w:styleId="14">
    <w:name w:val="Plain Text"/>
    <w:basedOn w:val="1"/>
    <w:link w:val="46"/>
    <w:qFormat/>
    <w:uiPriority w:val="0"/>
    <w:rPr>
      <w:rFonts w:ascii="宋体" w:hAnsi="Courier New"/>
      <w:szCs w:val="20"/>
    </w:rPr>
  </w:style>
  <w:style w:type="paragraph" w:styleId="15">
    <w:name w:val="toc 8"/>
    <w:basedOn w:val="1"/>
    <w:next w:val="1"/>
    <w:unhideWhenUsed/>
    <w:qFormat/>
    <w:uiPriority w:val="39"/>
    <w:pPr>
      <w:ind w:left="1470"/>
      <w:jc w:val="left"/>
    </w:pPr>
    <w:rPr>
      <w:rFonts w:asciiTheme="minorHAnsi" w:hAnsiTheme="minorHAnsi"/>
      <w:sz w:val="18"/>
      <w:szCs w:val="18"/>
    </w:rPr>
  </w:style>
  <w:style w:type="paragraph" w:styleId="16">
    <w:name w:val="Date"/>
    <w:basedOn w:val="1"/>
    <w:next w:val="1"/>
    <w:link w:val="47"/>
    <w:semiHidden/>
    <w:unhideWhenUsed/>
    <w:qFormat/>
    <w:uiPriority w:val="99"/>
    <w:pPr>
      <w:ind w:left="100" w:leftChars="2500"/>
    </w:pPr>
  </w:style>
  <w:style w:type="paragraph" w:styleId="17">
    <w:name w:val="Balloon Text"/>
    <w:basedOn w:val="1"/>
    <w:link w:val="48"/>
    <w:semiHidden/>
    <w:qFormat/>
    <w:uiPriority w:val="99"/>
    <w:rPr>
      <w:sz w:val="18"/>
      <w:szCs w:val="18"/>
    </w:rPr>
  </w:style>
  <w:style w:type="paragraph" w:styleId="18">
    <w:name w:val="footer"/>
    <w:basedOn w:val="1"/>
    <w:link w:val="49"/>
    <w:qFormat/>
    <w:uiPriority w:val="99"/>
    <w:pPr>
      <w:tabs>
        <w:tab w:val="center" w:pos="4153"/>
        <w:tab w:val="right" w:pos="8306"/>
      </w:tabs>
      <w:snapToGrid w:val="0"/>
      <w:jc w:val="left"/>
    </w:pPr>
    <w:rPr>
      <w:sz w:val="18"/>
      <w:szCs w:val="18"/>
    </w:rPr>
  </w:style>
  <w:style w:type="paragraph" w:styleId="19">
    <w:name w:val="header"/>
    <w:basedOn w:val="1"/>
    <w:link w:val="50"/>
    <w:qFormat/>
    <w:uiPriority w:val="99"/>
    <w:pPr>
      <w:pBdr>
        <w:bottom w:val="single" w:color="auto" w:sz="6" w:space="0"/>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heme="minorHAnsi" w:hAnsiTheme="minorHAnsi"/>
      <w:b/>
      <w:bCs/>
      <w:caps/>
      <w:sz w:val="20"/>
      <w:szCs w:val="20"/>
    </w:rPr>
  </w:style>
  <w:style w:type="paragraph" w:styleId="21">
    <w:name w:val="toc 4"/>
    <w:basedOn w:val="1"/>
    <w:next w:val="1"/>
    <w:unhideWhenUsed/>
    <w:qFormat/>
    <w:uiPriority w:val="39"/>
    <w:pPr>
      <w:ind w:left="630"/>
      <w:jc w:val="left"/>
    </w:pPr>
    <w:rPr>
      <w:rFonts w:asciiTheme="minorHAnsi" w:hAnsiTheme="minorHAnsi"/>
      <w:sz w:val="18"/>
      <w:szCs w:val="18"/>
    </w:rPr>
  </w:style>
  <w:style w:type="paragraph" w:styleId="22">
    <w:name w:val="toc 6"/>
    <w:basedOn w:val="1"/>
    <w:next w:val="1"/>
    <w:unhideWhenUsed/>
    <w:qFormat/>
    <w:uiPriority w:val="39"/>
    <w:pPr>
      <w:ind w:left="1050"/>
      <w:jc w:val="left"/>
    </w:pPr>
    <w:rPr>
      <w:rFonts w:asciiTheme="minorHAnsi" w:hAnsiTheme="minorHAnsi"/>
      <w:sz w:val="18"/>
      <w:szCs w:val="18"/>
    </w:rPr>
  </w:style>
  <w:style w:type="paragraph" w:styleId="23">
    <w:name w:val="toc 2"/>
    <w:basedOn w:val="1"/>
    <w:next w:val="1"/>
    <w:unhideWhenUsed/>
    <w:qFormat/>
    <w:uiPriority w:val="39"/>
    <w:pPr>
      <w:ind w:left="210"/>
      <w:jc w:val="left"/>
    </w:pPr>
    <w:rPr>
      <w:rFonts w:asciiTheme="minorHAnsi" w:hAnsiTheme="minorHAnsi"/>
      <w:smallCaps/>
      <w:sz w:val="20"/>
      <w:szCs w:val="20"/>
    </w:rPr>
  </w:style>
  <w:style w:type="paragraph" w:styleId="24">
    <w:name w:val="toc 9"/>
    <w:basedOn w:val="1"/>
    <w:next w:val="1"/>
    <w:unhideWhenUsed/>
    <w:qFormat/>
    <w:uiPriority w:val="39"/>
    <w:pPr>
      <w:ind w:left="1680"/>
      <w:jc w:val="left"/>
    </w:pPr>
    <w:rPr>
      <w:rFonts w:asciiTheme="minorHAnsi" w:hAnsiTheme="minorHAnsi"/>
      <w:sz w:val="18"/>
      <w:szCs w:val="18"/>
    </w:rPr>
  </w:style>
  <w:style w:type="paragraph" w:styleId="25">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6">
    <w:name w:val="Normal (Web)"/>
    <w:basedOn w:val="1"/>
    <w:qFormat/>
    <w:uiPriority w:val="99"/>
    <w:pPr>
      <w:widowControl/>
      <w:spacing w:before="100" w:beforeAutospacing="1" w:after="100"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eastAsia="隶书" w:cs="Arial"/>
      <w:b/>
      <w:bCs/>
      <w:sz w:val="32"/>
      <w:szCs w:val="32"/>
    </w:rPr>
  </w:style>
  <w:style w:type="paragraph" w:styleId="28">
    <w:name w:val="annotation subject"/>
    <w:basedOn w:val="10"/>
    <w:next w:val="10"/>
    <w:link w:val="42"/>
    <w:semiHidden/>
    <w:qFormat/>
    <w:uiPriority w:val="0"/>
    <w:rPr>
      <w:b/>
      <w:bCs/>
    </w:rPr>
  </w:style>
  <w:style w:type="table" w:styleId="30">
    <w:name w:val="Table Grid"/>
    <w:basedOn w:val="2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Emphasis"/>
    <w:qFormat/>
    <w:uiPriority w:val="0"/>
    <w:rPr>
      <w:rFonts w:ascii="仿宋_GB2312" w:eastAsia="仿宋_GB2312"/>
      <w:b/>
      <w:color w:val="CC0000"/>
      <w:kern w:val="2"/>
      <w:sz w:val="28"/>
      <w:szCs w:val="28"/>
      <w:lang w:val="en-US" w:eastAsia="zh-CN" w:bidi="ar-SA"/>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2 Char"/>
    <w:basedOn w:val="31"/>
    <w:link w:val="4"/>
    <w:qFormat/>
    <w:uiPriority w:val="0"/>
    <w:rPr>
      <w:rFonts w:ascii="Arial" w:hAnsi="Arial" w:eastAsia="黑体" w:cs="Times New Roman"/>
      <w:b/>
      <w:bCs/>
      <w:sz w:val="32"/>
      <w:szCs w:val="32"/>
    </w:rPr>
  </w:style>
  <w:style w:type="character" w:customStyle="1" w:styleId="38">
    <w:name w:val="标题 1 Char"/>
    <w:basedOn w:val="31"/>
    <w:link w:val="3"/>
    <w:qFormat/>
    <w:uiPriority w:val="0"/>
    <w:rPr>
      <w:rFonts w:ascii="Arial" w:hAnsi="Arial" w:eastAsia="黑体" w:cs="Times New Roman"/>
      <w:kern w:val="44"/>
      <w:sz w:val="32"/>
      <w:szCs w:val="32"/>
    </w:rPr>
  </w:style>
  <w:style w:type="character" w:customStyle="1" w:styleId="39">
    <w:name w:val="标题 3 Char"/>
    <w:basedOn w:val="31"/>
    <w:link w:val="5"/>
    <w:qFormat/>
    <w:uiPriority w:val="0"/>
    <w:rPr>
      <w:rFonts w:ascii="Times New Roman" w:hAnsi="Times New Roman" w:eastAsia="宋体" w:cs="Times New Roman"/>
      <w:b/>
      <w:bCs/>
      <w:sz w:val="32"/>
      <w:szCs w:val="32"/>
    </w:rPr>
  </w:style>
  <w:style w:type="character" w:customStyle="1" w:styleId="40">
    <w:name w:val="标题 4 Char"/>
    <w:basedOn w:val="31"/>
    <w:link w:val="6"/>
    <w:qFormat/>
    <w:uiPriority w:val="0"/>
    <w:rPr>
      <w:rFonts w:ascii="Arial" w:hAnsi="Arial" w:eastAsia="黑体" w:cs="Times New Roman"/>
      <w:b/>
      <w:bCs/>
      <w:sz w:val="28"/>
      <w:szCs w:val="28"/>
    </w:rPr>
  </w:style>
  <w:style w:type="character" w:customStyle="1" w:styleId="41">
    <w:name w:val="批注文字 Char"/>
    <w:basedOn w:val="31"/>
    <w:link w:val="10"/>
    <w:qFormat/>
    <w:uiPriority w:val="0"/>
    <w:rPr>
      <w:rFonts w:ascii="Times New Roman" w:hAnsi="Times New Roman" w:eastAsia="宋体" w:cs="Times New Roman"/>
      <w:szCs w:val="24"/>
    </w:rPr>
  </w:style>
  <w:style w:type="character" w:customStyle="1" w:styleId="42">
    <w:name w:val="批注主题 Char"/>
    <w:basedOn w:val="41"/>
    <w:link w:val="28"/>
    <w:semiHidden/>
    <w:qFormat/>
    <w:uiPriority w:val="0"/>
    <w:rPr>
      <w:rFonts w:ascii="Times New Roman" w:hAnsi="Times New Roman" w:eastAsia="宋体" w:cs="Times New Roman"/>
      <w:b/>
      <w:bCs/>
      <w:szCs w:val="24"/>
    </w:rPr>
  </w:style>
  <w:style w:type="character" w:customStyle="1" w:styleId="43">
    <w:name w:val="正文缩进 Char"/>
    <w:link w:val="8"/>
    <w:qFormat/>
    <w:uiPriority w:val="0"/>
    <w:rPr>
      <w:rFonts w:ascii="Times New Roman" w:hAnsi="Times New Roman" w:eastAsia="宋体" w:cs="Times New Roman"/>
      <w:szCs w:val="24"/>
    </w:rPr>
  </w:style>
  <w:style w:type="character" w:customStyle="1" w:styleId="44">
    <w:name w:val="文档结构图 Char"/>
    <w:basedOn w:val="31"/>
    <w:link w:val="9"/>
    <w:semiHidden/>
    <w:qFormat/>
    <w:uiPriority w:val="0"/>
    <w:rPr>
      <w:rFonts w:ascii="Times New Roman" w:hAnsi="Times New Roman" w:eastAsia="宋体" w:cs="Times New Roman"/>
      <w:szCs w:val="24"/>
      <w:shd w:val="clear" w:color="auto" w:fill="000080"/>
    </w:rPr>
  </w:style>
  <w:style w:type="character" w:customStyle="1" w:styleId="45">
    <w:name w:val="正文文本 Char"/>
    <w:basedOn w:val="31"/>
    <w:link w:val="11"/>
    <w:qFormat/>
    <w:uiPriority w:val="0"/>
    <w:rPr>
      <w:rFonts w:ascii="Times New Roman" w:hAnsi="Times New Roman" w:eastAsia="宋体" w:cs="Times New Roman"/>
      <w:szCs w:val="24"/>
    </w:rPr>
  </w:style>
  <w:style w:type="character" w:customStyle="1" w:styleId="46">
    <w:name w:val="纯文本 Char"/>
    <w:basedOn w:val="31"/>
    <w:link w:val="14"/>
    <w:qFormat/>
    <w:uiPriority w:val="0"/>
    <w:rPr>
      <w:rFonts w:ascii="宋体" w:hAnsi="Courier New" w:eastAsia="宋体" w:cs="Times New Roman"/>
      <w:szCs w:val="20"/>
    </w:rPr>
  </w:style>
  <w:style w:type="character" w:customStyle="1" w:styleId="47">
    <w:name w:val="日期 Char"/>
    <w:basedOn w:val="31"/>
    <w:link w:val="16"/>
    <w:semiHidden/>
    <w:qFormat/>
    <w:uiPriority w:val="99"/>
    <w:rPr>
      <w:rFonts w:ascii="Times New Roman" w:hAnsi="Times New Roman" w:eastAsia="宋体" w:cs="Times New Roman"/>
      <w:szCs w:val="24"/>
    </w:rPr>
  </w:style>
  <w:style w:type="character" w:customStyle="1" w:styleId="48">
    <w:name w:val="批注框文本 Char"/>
    <w:basedOn w:val="31"/>
    <w:link w:val="17"/>
    <w:semiHidden/>
    <w:qFormat/>
    <w:uiPriority w:val="99"/>
    <w:rPr>
      <w:rFonts w:ascii="Times New Roman" w:hAnsi="Times New Roman" w:eastAsia="宋体" w:cs="Times New Roman"/>
      <w:sz w:val="18"/>
      <w:szCs w:val="18"/>
    </w:rPr>
  </w:style>
  <w:style w:type="character" w:customStyle="1" w:styleId="49">
    <w:name w:val="页脚 Char"/>
    <w:basedOn w:val="31"/>
    <w:link w:val="18"/>
    <w:qFormat/>
    <w:uiPriority w:val="99"/>
    <w:rPr>
      <w:rFonts w:ascii="Times New Roman" w:hAnsi="Times New Roman" w:eastAsia="宋体" w:cs="Times New Roman"/>
      <w:sz w:val="18"/>
      <w:szCs w:val="18"/>
    </w:rPr>
  </w:style>
  <w:style w:type="character" w:customStyle="1" w:styleId="50">
    <w:name w:val="页眉 Char"/>
    <w:basedOn w:val="31"/>
    <w:link w:val="19"/>
    <w:qFormat/>
    <w:uiPriority w:val="0"/>
    <w:rPr>
      <w:rFonts w:ascii="Times New Roman" w:hAnsi="Times New Roman" w:eastAsia="宋体" w:cs="Times New Roman"/>
      <w:sz w:val="18"/>
      <w:szCs w:val="18"/>
    </w:rPr>
  </w:style>
  <w:style w:type="character" w:customStyle="1" w:styleId="51">
    <w:name w:val="HTML 预设格式 Char"/>
    <w:basedOn w:val="31"/>
    <w:link w:val="25"/>
    <w:qFormat/>
    <w:uiPriority w:val="0"/>
    <w:rPr>
      <w:rFonts w:ascii="宋体" w:hAnsi="宋体" w:eastAsia="宋体" w:cs="宋体"/>
      <w:kern w:val="0"/>
      <w:sz w:val="24"/>
      <w:szCs w:val="24"/>
    </w:rPr>
  </w:style>
  <w:style w:type="character" w:customStyle="1" w:styleId="52">
    <w:name w:val="标题 Char"/>
    <w:basedOn w:val="31"/>
    <w:link w:val="27"/>
    <w:qFormat/>
    <w:uiPriority w:val="0"/>
    <w:rPr>
      <w:rFonts w:ascii="Arial" w:hAnsi="Arial" w:eastAsia="隶书" w:cs="Arial"/>
      <w:b/>
      <w:bCs/>
      <w:sz w:val="32"/>
      <w:szCs w:val="32"/>
    </w:rPr>
  </w:style>
  <w:style w:type="paragraph" w:customStyle="1" w:styleId="5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样式1 Char Char"/>
    <w:basedOn w:val="1"/>
    <w:next w:val="1"/>
    <w:link w:val="55"/>
    <w:qFormat/>
    <w:uiPriority w:val="0"/>
    <w:pPr>
      <w:spacing w:line="360" w:lineRule="auto"/>
      <w:ind w:firstLine="516" w:firstLineChars="215"/>
    </w:pPr>
    <w:rPr>
      <w:sz w:val="24"/>
      <w:szCs w:val="20"/>
    </w:rPr>
  </w:style>
  <w:style w:type="character" w:customStyle="1" w:styleId="55">
    <w:name w:val="样式1 Char Char Char"/>
    <w:link w:val="54"/>
    <w:qFormat/>
    <w:uiPriority w:val="0"/>
    <w:rPr>
      <w:rFonts w:ascii="Times New Roman" w:hAnsi="Times New Roman" w:eastAsia="宋体" w:cs="Times New Roman"/>
      <w:sz w:val="24"/>
      <w:szCs w:val="20"/>
    </w:rPr>
  </w:style>
  <w:style w:type="paragraph" w:customStyle="1" w:styleId="56">
    <w:name w:val="样式1"/>
    <w:basedOn w:val="27"/>
    <w:link w:val="57"/>
    <w:qFormat/>
    <w:uiPriority w:val="0"/>
    <w:pPr>
      <w:spacing w:before="120" w:after="120"/>
    </w:pPr>
    <w:rPr>
      <w:rFonts w:eastAsia="黑体"/>
      <w:b w:val="0"/>
      <w:sz w:val="30"/>
      <w:szCs w:val="21"/>
    </w:rPr>
  </w:style>
  <w:style w:type="character" w:customStyle="1" w:styleId="57">
    <w:name w:val="样式1 Char"/>
    <w:link w:val="56"/>
    <w:qFormat/>
    <w:uiPriority w:val="0"/>
    <w:rPr>
      <w:rFonts w:ascii="Arial" w:hAnsi="Arial" w:eastAsia="黑体" w:cs="Arial"/>
      <w:bCs/>
      <w:sz w:val="30"/>
      <w:szCs w:val="21"/>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60">
    <w:name w:val="USE 1"/>
    <w:basedOn w:val="1"/>
    <w:qFormat/>
    <w:uiPriority w:val="0"/>
    <w:pPr>
      <w:spacing w:line="200" w:lineRule="atLeast"/>
      <w:jc w:val="left"/>
    </w:pPr>
    <w:rPr>
      <w:rFonts w:ascii="宋体" w:hAnsi="宋体"/>
      <w:b/>
      <w:sz w:val="24"/>
      <w:szCs w:val="28"/>
    </w:rPr>
  </w:style>
  <w:style w:type="character" w:customStyle="1" w:styleId="61">
    <w:name w:val="正文缩进2格 Char"/>
    <w:link w:val="62"/>
    <w:qFormat/>
    <w:locked/>
    <w:uiPriority w:val="0"/>
    <w:rPr>
      <w:rFonts w:ascii="仿宋_GB2312" w:hAnsi="宋体" w:eastAsia="仿宋_GB2312"/>
      <w:sz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cstheme="minorBidi"/>
      <w:sz w:val="28"/>
      <w:szCs w:val="22"/>
    </w:rPr>
  </w:style>
  <w:style w:type="paragraph" w:customStyle="1" w:styleId="63">
    <w:name w:val="样式2"/>
    <w:basedOn w:val="10"/>
    <w:link w:val="64"/>
    <w:qFormat/>
    <w:uiPriority w:val="0"/>
  </w:style>
  <w:style w:type="character" w:customStyle="1" w:styleId="64">
    <w:name w:val="样式2 Char"/>
    <w:link w:val="63"/>
    <w:qFormat/>
    <w:uiPriority w:val="0"/>
    <w:rPr>
      <w:rFonts w:ascii="Times New Roman" w:hAnsi="Times New Roman" w:eastAsia="宋体" w:cs="Times New Roman"/>
      <w:szCs w:val="24"/>
    </w:rPr>
  </w:style>
  <w:style w:type="paragraph" w:styleId="65">
    <w:name w:val="List Paragraph"/>
    <w:basedOn w:val="1"/>
    <w:link w:val="76"/>
    <w:qFormat/>
    <w:uiPriority w:val="0"/>
    <w:pPr>
      <w:ind w:firstLine="420" w:firstLineChars="200"/>
    </w:pPr>
  </w:style>
  <w:style w:type="paragraph" w:customStyle="1" w:styleId="66">
    <w:name w:val="列出段落2"/>
    <w:basedOn w:val="1"/>
    <w:qFormat/>
    <w:uiPriority w:val="0"/>
    <w:pPr>
      <w:ind w:firstLine="420" w:firstLineChars="200"/>
    </w:pPr>
  </w:style>
  <w:style w:type="character" w:customStyle="1" w:styleId="67">
    <w:name w:val="表正文 Char2"/>
    <w:qFormat/>
    <w:uiPriority w:val="0"/>
    <w:rPr>
      <w:rFonts w:eastAsia="宋体"/>
      <w:kern w:val="2"/>
      <w:sz w:val="21"/>
      <w:szCs w:val="24"/>
      <w:lang w:val="en-US" w:eastAsia="zh-CN" w:bidi="ar-SA"/>
    </w:rPr>
  </w:style>
  <w:style w:type="paragraph" w:customStyle="1" w:styleId="6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9">
    <w:name w:val="列出段落1"/>
    <w:basedOn w:val="1"/>
    <w:qFormat/>
    <w:uiPriority w:val="34"/>
    <w:pPr>
      <w:ind w:firstLine="420" w:firstLineChars="200"/>
    </w:pPr>
  </w:style>
  <w:style w:type="paragraph" w:customStyle="1" w:styleId="7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Char Char Char Char Char"/>
    <w:link w:val="72"/>
    <w:qFormat/>
    <w:uiPriority w:val="0"/>
    <w:rPr>
      <w:szCs w:val="21"/>
    </w:rPr>
  </w:style>
  <w:style w:type="paragraph" w:customStyle="1" w:styleId="72">
    <w:name w:val="Char Char Char Char1"/>
    <w:basedOn w:val="1"/>
    <w:link w:val="71"/>
    <w:qFormat/>
    <w:uiPriority w:val="0"/>
    <w:rPr>
      <w:rFonts w:asciiTheme="minorHAnsi" w:hAnsiTheme="minorHAnsi" w:eastAsiaTheme="minorEastAsia" w:cstheme="minorBidi"/>
      <w:szCs w:val="21"/>
    </w:rPr>
  </w:style>
  <w:style w:type="paragraph" w:customStyle="1" w:styleId="73">
    <w:name w:val="Default"/>
    <w:link w:val="75"/>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74">
    <w:name w:val="正文缩进 Char1"/>
    <w:basedOn w:val="31"/>
    <w:qFormat/>
    <w:uiPriority w:val="0"/>
    <w:rPr>
      <w:rFonts w:ascii="Arial" w:hAnsi="Arial"/>
      <w:kern w:val="2"/>
      <w:sz w:val="21"/>
      <w:szCs w:val="24"/>
    </w:rPr>
  </w:style>
  <w:style w:type="character" w:customStyle="1" w:styleId="75">
    <w:name w:val="Default Char"/>
    <w:link w:val="73"/>
    <w:qFormat/>
    <w:uiPriority w:val="0"/>
    <w:rPr>
      <w:rFonts w:ascii="Arial Narrow" w:hAnsi="Arial Narrow" w:eastAsia="宋体" w:cs="Arial Narrow"/>
      <w:color w:val="000000"/>
      <w:sz w:val="24"/>
      <w:szCs w:val="24"/>
    </w:rPr>
  </w:style>
  <w:style w:type="character" w:customStyle="1" w:styleId="76">
    <w:name w:val="列出段落 Char"/>
    <w:link w:val="65"/>
    <w:qFormat/>
    <w:uiPriority w:val="0"/>
    <w:rPr>
      <w:rFonts w:ascii="Times New Roman" w:hAnsi="Times New Roman" w:eastAsia="宋体" w:cs="Times New Roman"/>
      <w:kern w:val="2"/>
      <w:sz w:val="21"/>
      <w:szCs w:val="24"/>
    </w:rPr>
  </w:style>
  <w:style w:type="paragraph" w:customStyle="1" w:styleId="7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Table Paragraph"/>
    <w:basedOn w:val="1"/>
    <w:qFormat/>
    <w:uiPriority w:val="1"/>
    <w:rPr>
      <w:rFonts w:ascii="宋体" w:hAnsi="宋体" w:cs="宋体"/>
      <w:lang w:val="zh-CN" w:bidi="zh-CN"/>
    </w:rPr>
  </w:style>
  <w:style w:type="paragraph" w:customStyle="1" w:styleId="79">
    <w:name w:val="标题 11"/>
    <w:basedOn w:val="1"/>
    <w:qFormat/>
    <w:uiPriority w:val="1"/>
    <w:pPr>
      <w:ind w:left="177"/>
      <w:jc w:val="left"/>
      <w:outlineLvl w:val="1"/>
    </w:pPr>
    <w:rPr>
      <w:rFonts w:ascii="宋体" w:hAnsi="宋体" w:cstheme="minorBidi"/>
      <w:kern w:val="0"/>
      <w:sz w:val="27"/>
      <w:szCs w:val="27"/>
      <w:lang w:eastAsia="en-US"/>
    </w:rPr>
  </w:style>
  <w:style w:type="character" w:customStyle="1" w:styleId="80">
    <w:name w:val="纯文本 字符"/>
    <w:qFormat/>
    <w:uiPriority w:val="0"/>
    <w:rPr>
      <w:rFonts w:ascii="宋体" w:hAnsi="Courier New"/>
      <w:kern w:val="2"/>
      <w:sz w:val="21"/>
      <w:szCs w:val="24"/>
    </w:rPr>
  </w:style>
  <w:style w:type="paragraph" w:customStyle="1" w:styleId="81">
    <w:name w:val="正文_0"/>
    <w:qFormat/>
    <w:uiPriority w:val="0"/>
    <w:rPr>
      <w:rFonts w:ascii="Calibri" w:hAnsi="Calibri" w:eastAsia="仿宋" w:cs="Times New Roman"/>
      <w:sz w:val="21"/>
      <w:szCs w:val="22"/>
      <w:lang w:val="en-US" w:eastAsia="zh-CN" w:bidi="ar-SA"/>
    </w:rPr>
  </w:style>
  <w:style w:type="paragraph" w:customStyle="1" w:styleId="8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83">
    <w:name w:val="UserStyle_40"/>
    <w:qFormat/>
    <w:uiPriority w:val="0"/>
    <w:rPr>
      <w:kern w:val="2"/>
      <w:sz w:val="21"/>
      <w:szCs w:val="24"/>
      <w:lang w:val="en-US" w:eastAsia="zh-CN" w:bidi="ar-SA"/>
    </w:rPr>
  </w:style>
  <w:style w:type="paragraph" w:customStyle="1" w:styleId="84">
    <w:name w:val="表格内文字"/>
    <w:basedOn w:val="1"/>
    <w:qFormat/>
    <w:uiPriority w:val="0"/>
    <w:rPr>
      <w:sz w:val="24"/>
    </w:rPr>
  </w:style>
  <w:style w:type="paragraph" w:customStyle="1" w:styleId="8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C7B14-233F-4F85-B8D5-159DB61E6A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666</Words>
  <Characters>3797</Characters>
  <Lines>31</Lines>
  <Paragraphs>8</Paragraphs>
  <TotalTime>3</TotalTime>
  <ScaleCrop>false</ScaleCrop>
  <LinksUpToDate>false</LinksUpToDate>
  <CharactersWithSpaces>4455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2021-03-22T04:56:00Z</dcterms:created>
  <dc:creator>锦泓兴-朱小姐</dc:creator>
  <cp:lastModifiedBy>ghsz</cp:lastModifiedBy>
  <cp:lastPrinted>2021-04-22T23:54:00Z</cp:lastPrinted>
  <dcterms:modified xsi:type="dcterms:W3CDTF">2021-04-23T06:48:05Z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C718F13AE32849FBA6A2CEF66EAC0484</vt:lpwstr>
  </property>
</Properties>
</file>