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val="0"/>
          <w:bCs/>
          <w:sz w:val="32"/>
          <w:szCs w:val="22"/>
          <w:lang w:val="en-US" w:eastAsia="zh-CN"/>
        </w:rPr>
      </w:pPr>
      <w:r>
        <w:rPr>
          <w:rFonts w:hint="eastAsia"/>
          <w:b w:val="0"/>
          <w:bCs/>
          <w:sz w:val="32"/>
          <w:szCs w:val="22"/>
          <w:lang w:val="en-US" w:eastAsia="zh-CN"/>
        </w:rPr>
        <w:t>附件1：</w:t>
      </w:r>
    </w:p>
    <w:p>
      <w:pPr>
        <w:jc w:val="center"/>
        <w:outlineLvl w:val="0"/>
      </w:pPr>
      <w:r>
        <w:rPr>
          <w:rFonts w:hint="eastAsia"/>
          <w:b/>
          <w:sz w:val="36"/>
          <w:lang w:val="en-US" w:eastAsia="zh-CN"/>
        </w:rPr>
        <w:t>初步</w:t>
      </w:r>
      <w:r>
        <w:rPr>
          <w:b/>
          <w:sz w:val="36"/>
        </w:rPr>
        <w:t>采购需求</w:t>
      </w:r>
    </w:p>
    <w:p>
      <w:pPr>
        <w:outlineLvl w:val="0"/>
      </w:pPr>
      <w:r>
        <w:rPr>
          <w:b/>
          <w:sz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rPr>
          <w:sz w:val="24"/>
        </w:rPr>
        <w:t>★</w:t>
      </w:r>
      <w:r>
        <w:rPr>
          <w:rFonts w:hint="default"/>
          <w:sz w:val="24"/>
          <w:lang w:val="en-US"/>
        </w:rPr>
        <w:t>投标人</w:t>
      </w:r>
      <w:r>
        <w:rPr>
          <w:sz w:val="24"/>
        </w:rPr>
        <w:t>所供的食材必须符合《中华人民共和国食品安全法》等安全、卫生、质量、防疫、环境国家行业法律法规要求。</w:t>
      </w:r>
      <w:r>
        <w:rPr>
          <w:rFonts w:hint="default"/>
          <w:sz w:val="24"/>
          <w:lang w:val="en-US"/>
        </w:rPr>
        <w:t>投标人</w:t>
      </w:r>
      <w:r>
        <w:rPr>
          <w:sz w:val="24"/>
        </w:rPr>
        <w:t>具有有效期内的</w:t>
      </w:r>
      <w:r>
        <w:rPr>
          <w:rFonts w:hint="eastAsia"/>
          <w:sz w:val="24"/>
          <w:lang w:eastAsia="zh-CN"/>
        </w:rPr>
        <w:t>《</w:t>
      </w:r>
      <w:r>
        <w:rPr>
          <w:sz w:val="24"/>
        </w:rPr>
        <w:t>食品经营许可证</w:t>
      </w:r>
      <w:r>
        <w:rPr>
          <w:rFonts w:hint="eastAsia"/>
          <w:sz w:val="24"/>
          <w:lang w:eastAsia="zh-CN"/>
        </w:rPr>
        <w:t>》，</w:t>
      </w:r>
      <w:r>
        <w:rPr>
          <w:sz w:val="24"/>
        </w:rPr>
        <w:t>投标时提供</w:t>
      </w:r>
      <w:r>
        <w:rPr>
          <w:rFonts w:hint="eastAsia"/>
          <w:sz w:val="24"/>
          <w:lang w:val="en-US" w:eastAsia="zh-CN"/>
        </w:rPr>
        <w:t>证书复印件</w:t>
      </w:r>
      <w:r>
        <w:rPr>
          <w:sz w:val="24"/>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b/>
          <w:sz w:val="24"/>
        </w:rPr>
        <w:t>一、采购项目一览表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3"/>
        <w:gridCol w:w="1254"/>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783" w:type="dxa"/>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color w:val="000000"/>
                <w:sz w:val="24"/>
              </w:rPr>
              <w:t>采购内容</w:t>
            </w:r>
          </w:p>
        </w:tc>
        <w:tc>
          <w:tcPr>
            <w:tcW w:w="1254" w:type="dxa"/>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color w:val="000000"/>
                <w:sz w:val="24"/>
              </w:rPr>
              <w:t>服务期限</w:t>
            </w:r>
          </w:p>
        </w:tc>
        <w:tc>
          <w:tcPr>
            <w:tcW w:w="3269" w:type="dxa"/>
            <w:shd w:val="clear" w:color="auto" w:fill="EEECE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color w:val="000000"/>
                <w:sz w:val="24"/>
              </w:rPr>
              <w:t>最高限价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b/>
                <w:color w:val="000000"/>
                <w:sz w:val="24"/>
              </w:rPr>
              <w:t>（人民币</w:t>
            </w:r>
            <w:r>
              <w:rPr>
                <w:b/>
                <w:sz w:val="21"/>
              </w:rPr>
              <w:t xml:space="preserve"> </w:t>
            </w:r>
            <w:r>
              <w:rPr>
                <w:b/>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sz w:val="24"/>
              </w:rPr>
              <w:t>民警食堂食品配送服务采购</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lang w:eastAsia="zh-CN"/>
              </w:rPr>
            </w:pPr>
            <w:r>
              <w:rPr>
                <w:sz w:val="24"/>
              </w:rPr>
              <w:t>一年</w:t>
            </w:r>
            <w:r>
              <w:rPr>
                <w:rFonts w:hint="eastAsia"/>
                <w:sz w:val="24"/>
                <w:lang w:eastAsia="zh-CN"/>
              </w:rPr>
              <w:t>零三个月</w:t>
            </w:r>
          </w:p>
        </w:tc>
        <w:tc>
          <w:tcPr>
            <w:tcW w:w="32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lang w:val="en-US" w:eastAsia="zh-CN"/>
              </w:rPr>
            </w:pPr>
            <w:r>
              <w:rPr>
                <w:rFonts w:hint="eastAsia"/>
                <w:lang w:val="en-US" w:eastAsia="zh-CN"/>
              </w:rPr>
              <w:t>1415.236万</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b/>
          <w:sz w:val="24"/>
        </w:rPr>
        <w:t>二、项目简介</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（一）项目名称：</w:t>
      </w:r>
      <w:r>
        <w:rPr>
          <w:rFonts w:hint="eastAsia"/>
          <w:sz w:val="24"/>
        </w:rPr>
        <w:t>广州市公安局荔湾区分局食堂食材配送采购项目</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（二）项目类别：</w:t>
      </w:r>
      <w:r>
        <w:rPr>
          <w:b w:val="0"/>
          <w:bCs/>
          <w:sz w:val="24"/>
        </w:rPr>
        <w:t>服务类</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（三）采购内容：鲜猪肉、冻肉、家禽类、蛋鱼类、蔬菜类、粮油、副食品类及奶制品等配送服务。</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（四）采购预算：人民币</w:t>
      </w:r>
      <w:r>
        <w:rPr>
          <w:rFonts w:hint="eastAsia"/>
          <w:sz w:val="24"/>
          <w:lang w:val="en-US" w:eastAsia="zh-CN"/>
        </w:rPr>
        <w:t>1415.236</w:t>
      </w:r>
      <w:r>
        <w:rPr>
          <w:sz w:val="24"/>
        </w:rPr>
        <w:t>万元</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（五）采购数量：1批</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eastAsiaTheme="minorEastAsia"/>
          <w:lang w:eastAsia="zh-CN"/>
        </w:rPr>
      </w:pPr>
      <w:r>
        <w:rPr>
          <w:sz w:val="24"/>
        </w:rPr>
        <w:t>（六）</w:t>
      </w:r>
      <w:r>
        <w:rPr>
          <w:rFonts w:hint="eastAsia"/>
          <w:sz w:val="24"/>
          <w:lang w:val="en-US" w:eastAsia="zh-CN"/>
        </w:rPr>
        <w:t>服务</w:t>
      </w:r>
      <w:r>
        <w:rPr>
          <w:sz w:val="24"/>
        </w:rPr>
        <w:t>期：服务期为</w:t>
      </w:r>
      <w:r>
        <w:rPr>
          <w:sz w:val="24"/>
          <w:u w:val="single"/>
        </w:rPr>
        <w:t>1</w:t>
      </w:r>
      <w:r>
        <w:rPr>
          <w:rFonts w:hint="eastAsia"/>
          <w:sz w:val="24"/>
          <w:u w:val="single"/>
          <w:lang w:val="en-US" w:eastAsia="zh-CN"/>
        </w:rPr>
        <w:t>5</w:t>
      </w:r>
      <w:r>
        <w:rPr>
          <w:sz w:val="24"/>
          <w:u w:val="single"/>
        </w:rPr>
        <w:t>个月</w:t>
      </w:r>
      <w:r>
        <w:rPr>
          <w:rFonts w:hint="eastAsia"/>
          <w:sz w:val="24"/>
          <w:u w:val="single"/>
          <w:lang w:eastAsia="zh-CN"/>
        </w:rPr>
        <w:t>（</w:t>
      </w:r>
      <w:r>
        <w:rPr>
          <w:rFonts w:hint="eastAsia" w:ascii="宋体" w:hAnsi="宋体" w:eastAsia="宋体" w:cs="宋体"/>
          <w:i w:val="0"/>
          <w:iCs w:val="0"/>
          <w:caps w:val="0"/>
          <w:color w:val="000000"/>
          <w:spacing w:val="0"/>
          <w:sz w:val="24"/>
          <w:szCs w:val="24"/>
          <w:u w:val="single"/>
          <w:shd w:val="clear" w:fill="FFFFFF"/>
        </w:rPr>
        <w:t>2023年10月至2024年12月</w:t>
      </w:r>
      <w:r>
        <w:rPr>
          <w:rFonts w:hint="eastAsia"/>
          <w:sz w:val="24"/>
          <w:u w:val="single"/>
          <w:lang w:eastAsia="zh-CN"/>
        </w:rPr>
        <w:t>）</w:t>
      </w:r>
      <w:r>
        <w:rPr>
          <w:sz w:val="24"/>
        </w:rPr>
        <w:t>,或结算金额达到本项目采购预算，以先到为准</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（七）中标人数量：财政资金部分通过公开招标政府采购方式确定1家中标人负责配送。</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（八）</w:t>
      </w:r>
      <w:r>
        <w:rPr>
          <w:rFonts w:hint="eastAsia"/>
          <w:sz w:val="24"/>
        </w:rPr>
        <w:t>★根据市财政局《关于进一步促进政府采购公平竞争优化营商环境的通知》（穗财采〔2021〕10号）的相关规定，投标人必须承诺如中标会协助采购人通过“政府采购贫困地区农副产品网络销售平台”（即“国家832扶贫平台”）采购农副产品，具体采购产品类别、数量及时间等由采购人与中标人协商决定。在“国家832扶贫平台”采购的副产品，结算按照“国家832扶贫平台”上公示的价格进行，结算价格公式=国家832扶贫平台公示单价×实际订货量。结算费用已包含由中标人负责配送运输、供应搬运、售后服务、税项等一切费用</w:t>
      </w:r>
      <w:r>
        <w:rPr>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eastAsiaTheme="minorEastAsia"/>
          <w:lang w:eastAsia="zh-CN"/>
        </w:rPr>
      </w:pPr>
      <w:r>
        <w:rPr>
          <w:sz w:val="24"/>
        </w:rPr>
        <w:t>在本项目中，中标人需积极通过“国家832扶贫平台”在全国832个脱贫县范围内采购农副产品，及时支付款项；需优先采购99个广东省对接国家乡村振兴重点帮扶县农副产品，特别是40个重点帮扶县【详见《广东省财政厅广东省农业农村厅广东省供销合作联社关于落实运用政府采购政策支持乡村产业振兴有关工作的通知》（粤财采购〔2021〕6号）文附件5】；需优先采购23个广州市对接国家乡村振兴重点帮扶县农副产品。</w:t>
      </w:r>
      <w:r>
        <w:rPr>
          <w:rFonts w:hint="eastAsia"/>
          <w:sz w:val="24"/>
          <w:lang w:eastAsia="zh-CN"/>
        </w:rPr>
        <w:t>（</w:t>
      </w:r>
      <w:r>
        <w:rPr>
          <w:rFonts w:hint="eastAsia"/>
          <w:sz w:val="24"/>
          <w:lang w:val="en-US" w:eastAsia="zh-CN"/>
        </w:rPr>
        <w:t>投标时提供承诺函，格式自拟</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pPr>
      <w:r>
        <w:rPr>
          <w:b/>
          <w:sz w:val="24"/>
        </w:rPr>
        <w:t>三、参数要求</w:t>
      </w:r>
    </w:p>
    <w:p>
      <w:pPr>
        <w:keepNext w:val="0"/>
        <w:keepLines w:val="0"/>
        <w:pageBreakBefore w:val="0"/>
        <w:widowControl w:val="0"/>
        <w:kinsoku/>
        <w:wordWrap/>
        <w:overflowPunct/>
        <w:topLinePunct w:val="0"/>
        <w:autoSpaceDE/>
        <w:autoSpaceDN/>
        <w:bidi w:val="0"/>
        <w:adjustRightInd/>
        <w:snapToGrid/>
        <w:spacing w:line="360" w:lineRule="auto"/>
        <w:ind w:firstLine="354"/>
        <w:jc w:val="both"/>
        <w:textAlignment w:val="auto"/>
        <w:outlineLvl w:val="1"/>
      </w:pPr>
      <w:r>
        <w:rPr>
          <w:b/>
          <w:sz w:val="24"/>
        </w:rPr>
        <w:t>（一）项目</w:t>
      </w:r>
      <w:r>
        <w:rPr>
          <w:rFonts w:hint="eastAsia"/>
          <w:b/>
          <w:sz w:val="24"/>
          <w:lang w:val="en-US" w:eastAsia="zh-CN"/>
        </w:rPr>
        <w:t>介绍</w:t>
      </w:r>
      <w:r>
        <w:rPr>
          <w:b/>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highlight w:val="none"/>
        </w:rPr>
      </w:pPr>
      <w:r>
        <w:rPr>
          <w:sz w:val="24"/>
        </w:rPr>
        <w:t>本项目分局各单位食堂采购具体数量需根据各食堂就餐人数而定，用餐人数</w:t>
      </w:r>
      <w:r>
        <w:rPr>
          <w:color w:val="auto"/>
          <w:sz w:val="24"/>
          <w:highlight w:val="none"/>
        </w:rPr>
        <w:t>不少于</w:t>
      </w:r>
      <w:r>
        <w:rPr>
          <w:rFonts w:hint="eastAsia"/>
          <w:color w:val="auto"/>
          <w:sz w:val="24"/>
          <w:highlight w:val="none"/>
          <w:lang w:val="en-US" w:eastAsia="zh-CN"/>
        </w:rPr>
        <w:t>3656</w:t>
      </w:r>
      <w:r>
        <w:rPr>
          <w:color w:val="auto"/>
          <w:sz w:val="24"/>
          <w:highlight w:val="none"/>
        </w:rPr>
        <w:t>人</w:t>
      </w:r>
      <w:r>
        <w:rPr>
          <w:sz w:val="24"/>
        </w:rPr>
        <w:t>，采购品种按当周制定的菜谱安排计划执行。按照采购人的要求按时按质按量配送到</w:t>
      </w:r>
      <w:r>
        <w:rPr>
          <w:sz w:val="24"/>
          <w:highlight w:val="none"/>
        </w:rPr>
        <w:t>广州市公安局</w:t>
      </w:r>
      <w:r>
        <w:rPr>
          <w:rFonts w:hint="eastAsia"/>
          <w:sz w:val="24"/>
          <w:highlight w:val="none"/>
          <w:lang w:val="en-US" w:eastAsia="zh-CN"/>
        </w:rPr>
        <w:t>荔湾区</w:t>
      </w:r>
      <w:r>
        <w:rPr>
          <w:sz w:val="24"/>
          <w:highlight w:val="none"/>
        </w:rPr>
        <w:t>分局</w:t>
      </w:r>
      <w:r>
        <w:rPr>
          <w:rFonts w:hint="eastAsia"/>
          <w:sz w:val="24"/>
          <w:highlight w:val="none"/>
          <w:lang w:eastAsia="zh-CN"/>
        </w:rPr>
        <w:t>集中办公点食堂</w:t>
      </w:r>
      <w:r>
        <w:rPr>
          <w:rFonts w:hint="eastAsia"/>
          <w:sz w:val="24"/>
          <w:highlight w:val="none"/>
          <w:lang w:val="en-US" w:eastAsia="zh-CN"/>
        </w:rPr>
        <w:t>及</w:t>
      </w:r>
      <w:r>
        <w:rPr>
          <w:sz w:val="24"/>
          <w:highlight w:val="none"/>
        </w:rPr>
        <w:t>下属各单位</w:t>
      </w:r>
      <w:r>
        <w:rPr>
          <w:rFonts w:hint="eastAsia"/>
          <w:sz w:val="24"/>
          <w:highlight w:val="none"/>
          <w:lang w:eastAsia="zh-CN"/>
        </w:rPr>
        <w:t>食堂（五个集中办公点食堂及</w:t>
      </w:r>
      <w:r>
        <w:rPr>
          <w:rFonts w:hint="eastAsia"/>
          <w:sz w:val="24"/>
          <w:highlight w:val="none"/>
          <w:lang w:val="en-US" w:eastAsia="zh-CN"/>
        </w:rPr>
        <w:t>25个分局属下单位食堂</w:t>
      </w:r>
      <w:r>
        <w:rPr>
          <w:rFonts w:hint="eastAsia"/>
          <w:sz w:val="24"/>
          <w:highlight w:val="none"/>
          <w:lang w:eastAsia="zh-CN"/>
        </w:rPr>
        <w:t>）</w:t>
      </w:r>
      <w:r>
        <w:rPr>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354"/>
        <w:jc w:val="both"/>
        <w:textAlignment w:val="auto"/>
        <w:outlineLvl w:val="1"/>
        <w:rPr>
          <w:b/>
          <w:sz w:val="24"/>
        </w:rPr>
      </w:pPr>
      <w:r>
        <w:rPr>
          <w:b/>
          <w:sz w:val="24"/>
        </w:rPr>
        <w:t>（二）总体要求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outlineLvl w:val="2"/>
      </w:pPr>
      <w:r>
        <w:rPr>
          <w:sz w:val="24"/>
        </w:rPr>
        <w:t>1.所供的</w:t>
      </w:r>
      <w:r>
        <w:rPr>
          <w:rFonts w:hint="eastAsia"/>
          <w:sz w:val="24"/>
          <w:lang w:val="en-US" w:eastAsia="zh-CN"/>
        </w:rPr>
        <w:t>货物</w:t>
      </w:r>
      <w:r>
        <w:rPr>
          <w:sz w:val="24"/>
        </w:rPr>
        <w:t>必须符合“中华人民共和国食品安全法”要求。</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2.所供的</w:t>
      </w:r>
      <w:r>
        <w:rPr>
          <w:rFonts w:hint="eastAsia"/>
          <w:sz w:val="24"/>
          <w:lang w:val="en-US" w:eastAsia="zh-CN"/>
        </w:rPr>
        <w:t>货物</w:t>
      </w:r>
      <w:r>
        <w:rPr>
          <w:sz w:val="24"/>
        </w:rPr>
        <w:t>必须符合国家有关标准，保证无异味、无霉烂变质，如不符合投标文件所描述的质量标准，必须退货并承担违约责任。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3.所供</w:t>
      </w:r>
      <w:r>
        <w:rPr>
          <w:rFonts w:hint="eastAsia"/>
          <w:sz w:val="24"/>
          <w:lang w:val="en-US" w:eastAsia="zh-CN"/>
        </w:rPr>
        <w:t>的货物</w:t>
      </w:r>
      <w:r>
        <w:rPr>
          <w:sz w:val="24"/>
        </w:rPr>
        <w:t>必须符合国家行业生产及经营标准，货真价实，均能提供相应批次的合格检验证明。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4.投标货物各项技术指标必须完全符合国家有关质量检测、环保标准及产品出厂标准。</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5.中标人必须负责中标货物的运输、质量检测等工作，所产生的费用由中标人负责。</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6.</w:t>
      </w:r>
      <w:r>
        <w:rPr>
          <w:rFonts w:hint="eastAsia"/>
          <w:sz w:val="24"/>
          <w:lang w:val="en-US" w:eastAsia="zh-CN"/>
        </w:rPr>
        <w:t>采购人与中标人</w:t>
      </w:r>
      <w:r>
        <w:rPr>
          <w:sz w:val="24"/>
        </w:rPr>
        <w:t>双方通过电子邮件、电话、信息或下单系统发送订购单，</w:t>
      </w:r>
      <w:r>
        <w:rPr>
          <w:rFonts w:hint="eastAsia"/>
          <w:sz w:val="24"/>
          <w:lang w:val="en-US" w:eastAsia="zh-CN"/>
        </w:rPr>
        <w:t>中标人</w:t>
      </w:r>
      <w:r>
        <w:rPr>
          <w:sz w:val="24"/>
        </w:rPr>
        <w:t>须在1小时内响应，并按</w:t>
      </w:r>
      <w:r>
        <w:rPr>
          <w:rFonts w:hint="eastAsia"/>
          <w:sz w:val="24"/>
          <w:lang w:val="en-US" w:eastAsia="zh-CN"/>
        </w:rPr>
        <w:t>采购人</w:t>
      </w:r>
      <w:r>
        <w:rPr>
          <w:sz w:val="24"/>
        </w:rPr>
        <w:t>约定的时间准时送货。</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7.中标人不得将中标项目转包、分包，否则采购人有权单方终止合同，由此产生的一切经济损失由中标人自行承担。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8.由于采购人工作的特殊性，中标人应做好本单位工作人员的培训、安全、保密教育工作，遵守采购人各项规定。</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9.中标人除不可抗力，不得因其他任何理由延迟送货。采购人如遇特殊情况需推迟送货，应提前通知中标人。因中标人原因延误交货日期的（采购人要求推迟的除外），采购人有权自行采购，并由中标人承担由此产生的一切损失（包括直接经济损失和间接经济损失）。</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10.中标人不得变更供应</w:t>
      </w:r>
      <w:r>
        <w:rPr>
          <w:rFonts w:hint="eastAsia"/>
          <w:sz w:val="24"/>
          <w:lang w:val="en-US" w:eastAsia="zh-CN"/>
        </w:rPr>
        <w:t>货物</w:t>
      </w:r>
      <w:r>
        <w:rPr>
          <w:sz w:val="24"/>
        </w:rPr>
        <w:t>，应严格按招标响应的</w:t>
      </w:r>
      <w:r>
        <w:rPr>
          <w:rFonts w:hint="eastAsia"/>
          <w:sz w:val="24"/>
          <w:lang w:val="en-US" w:eastAsia="zh-CN"/>
        </w:rPr>
        <w:t>货物</w:t>
      </w:r>
      <w:r>
        <w:rPr>
          <w:sz w:val="24"/>
        </w:rPr>
        <w:t>供应，否则，采购人有权拒收。如因市场流通问题确实需要变更的，应书面向采购人申请。</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11.采购人按合同对</w:t>
      </w:r>
      <w:r>
        <w:rPr>
          <w:rFonts w:hint="eastAsia"/>
          <w:sz w:val="24"/>
          <w:lang w:val="en-US" w:eastAsia="zh-CN"/>
        </w:rPr>
        <w:t>货物</w:t>
      </w:r>
      <w:r>
        <w:rPr>
          <w:sz w:val="24"/>
        </w:rPr>
        <w:t>进行认真验收，对不符合规格要求的</w:t>
      </w:r>
      <w:r>
        <w:rPr>
          <w:rFonts w:hint="eastAsia"/>
          <w:sz w:val="24"/>
          <w:lang w:val="en-US" w:eastAsia="zh-CN"/>
        </w:rPr>
        <w:t>货物</w:t>
      </w:r>
      <w:r>
        <w:rPr>
          <w:sz w:val="24"/>
        </w:rPr>
        <w:t>，中标人必须无条件退货；中标人未能履行招标文件和合同所定事项,或供应不合格的、假冒伪劣、以次充好的</w:t>
      </w:r>
      <w:r>
        <w:rPr>
          <w:rFonts w:hint="eastAsia"/>
          <w:sz w:val="24"/>
          <w:lang w:val="en-US" w:eastAsia="zh-CN"/>
        </w:rPr>
        <w:t>货物</w:t>
      </w:r>
      <w:r>
        <w:rPr>
          <w:sz w:val="24"/>
        </w:rPr>
        <w:t>，采购人退货后将记录在案，并对中标人予以处罚，除要承担因此产生的一切损失和费用外，情节严重的可终止合同。</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12.中标人须开具国家正式发票。中标人按供应</w:t>
      </w:r>
      <w:r>
        <w:rPr>
          <w:rFonts w:hint="eastAsia"/>
          <w:sz w:val="24"/>
          <w:lang w:val="en-US" w:eastAsia="zh-CN"/>
        </w:rPr>
        <w:t>货物</w:t>
      </w:r>
      <w:r>
        <w:rPr>
          <w:sz w:val="24"/>
        </w:rPr>
        <w:t>的销售额开具发票。</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13.为保障食品安全，中标人须购买食品安全责任险，保额不低于人民币1亿元。中标人须在签订合同时提供保单复印件（原件备查），且被保日期在合同期内，</w:t>
      </w:r>
      <w:r>
        <w:rPr>
          <w:rFonts w:hint="eastAsia"/>
          <w:sz w:val="24"/>
          <w:lang w:val="en-US" w:eastAsia="zh-CN"/>
        </w:rPr>
        <w:t>投标人</w:t>
      </w:r>
      <w:r>
        <w:rPr>
          <w:sz w:val="24"/>
        </w:rPr>
        <w:t>投标时提供承诺函，格式自拟。若签订合同时未能提供的，</w:t>
      </w:r>
      <w:r>
        <w:rPr>
          <w:rFonts w:hint="eastAsia"/>
          <w:sz w:val="24"/>
          <w:lang w:val="en-US" w:eastAsia="zh-CN"/>
        </w:rPr>
        <w:t>采购人</w:t>
      </w:r>
      <w:r>
        <w:rPr>
          <w:sz w:val="24"/>
        </w:rPr>
        <w:t>将上报监管部门，造成的损失由中标人负责。</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14.为保证</w:t>
      </w:r>
      <w:r>
        <w:rPr>
          <w:rFonts w:hint="eastAsia"/>
          <w:sz w:val="24"/>
          <w:lang w:val="en-US" w:eastAsia="zh-CN"/>
        </w:rPr>
        <w:t>货物</w:t>
      </w:r>
      <w:r>
        <w:rPr>
          <w:sz w:val="24"/>
        </w:rPr>
        <w:t>可以及时送达采购人指定饭堂，以及快速充分响应项目需求，要求投标人具有一定的运输能力，</w:t>
      </w:r>
      <w:r>
        <w:rPr>
          <w:sz w:val="24"/>
          <w:u w:val="single"/>
        </w:rPr>
        <w:t>由于分局下属单位饭堂较多，相距地方较远，配送时间相对集中。为了保证民警正常用餐时间，不耽误日常警务工作，中标人需要</w:t>
      </w:r>
      <w:r>
        <w:rPr>
          <w:sz w:val="24"/>
        </w:rPr>
        <w:t>配备相当数量的车辆来配送食品食材。</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15.投标人具有自有或租赁的货物配送冷藏库，冷藏库应满足项目需求，对供货、货物储存、保鲜有保障，达到有效消杀和保鲜存储。有自有或租赁的种植基地、自有或合作的供货点和配送车辆且货物来源稳定、充足，满足项目采购需求。</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16.为体现食品安全服务保障能力，要求中标人要有自有的安全检测保障手段，或与农业或食品科研机构在原材料的采购、安全检测和相关科研指导有合作关系，保障食品食材安全。</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17.中标人应指派专业服务团队，团队成员不少于</w:t>
      </w:r>
      <w:r>
        <w:rPr>
          <w:rFonts w:hint="eastAsia"/>
          <w:sz w:val="24"/>
          <w:highlight w:val="none"/>
          <w:lang w:val="en-US" w:eastAsia="zh-CN"/>
        </w:rPr>
        <w:t>15</w:t>
      </w:r>
      <w:r>
        <w:rPr>
          <w:sz w:val="24"/>
        </w:rPr>
        <w:t>人，其中至少有1名为项目经理，2名财务人员（结账时负责与采购人一起核对送货单据，核对地址在采购人单位），并报采购人备案。必要时该</w:t>
      </w:r>
      <w:r>
        <w:rPr>
          <w:rFonts w:hint="eastAsia"/>
          <w:sz w:val="24"/>
          <w:highlight w:val="none"/>
        </w:rPr>
        <w:t>服务团队所有成员</w:t>
      </w:r>
      <w:r>
        <w:rPr>
          <w:sz w:val="24"/>
        </w:rPr>
        <w:t>需要参与饭堂应急工作。如需调整服务团队成员，须书面向采购人提出申请，说明申请理由，经采购人书面同意后方可调整服务团队成员。</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rPr>
          <w:rFonts w:hint="eastAsia"/>
          <w:sz w:val="24"/>
          <w:lang w:eastAsia="zh-CN"/>
        </w:rPr>
      </w:pPr>
      <w:r>
        <w:rPr>
          <w:rFonts w:hint="eastAsia"/>
          <w:sz w:val="24"/>
          <w:lang w:val="en-US" w:eastAsia="zh-CN"/>
        </w:rPr>
        <w:t>18</w:t>
      </w:r>
      <w:r>
        <w:rPr>
          <w:sz w:val="24"/>
        </w:rPr>
        <w:t>.因本项目供应对象特殊，要求投标人的供货质量及安全性高，企业售后、信誉、信用、企业体系等方面好</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rFonts w:hint="eastAsia"/>
          <w:sz w:val="24"/>
          <w:lang w:val="en-US" w:eastAsia="zh-CN"/>
        </w:rPr>
        <w:t>19</w:t>
      </w:r>
      <w:r>
        <w:rPr>
          <w:sz w:val="24"/>
        </w:rPr>
        <w:t>所采购的货物，按采购人要求中标人必须</w:t>
      </w:r>
      <w:r>
        <w:rPr>
          <w:sz w:val="24"/>
          <w:u w:val="single"/>
        </w:rPr>
        <w:t>每天早上7点前</w:t>
      </w:r>
      <w:r>
        <w:rPr>
          <w:sz w:val="24"/>
        </w:rPr>
        <w:t>将当天所需货物同时送达各指定饭堂。</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rFonts w:hint="eastAsia"/>
          <w:sz w:val="24"/>
          <w:lang w:val="en-US" w:eastAsia="zh-CN"/>
        </w:rPr>
        <w:t>20</w:t>
      </w:r>
      <w:r>
        <w:rPr>
          <w:sz w:val="24"/>
        </w:rPr>
        <w:t>.投标报价包含食材价格、运输、装卸、售后服务、保险、搬运费、税金等一切费用。</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2</w:t>
      </w:r>
      <w:r>
        <w:rPr>
          <w:rFonts w:hint="eastAsia"/>
          <w:sz w:val="24"/>
          <w:lang w:val="en-US" w:eastAsia="zh-CN"/>
        </w:rPr>
        <w:t>1</w:t>
      </w:r>
      <w:r>
        <w:rPr>
          <w:sz w:val="24"/>
        </w:rPr>
        <w:t>.供应有保质期限的食材</w:t>
      </w:r>
      <w:r>
        <w:rPr>
          <w:rFonts w:hint="eastAsia"/>
          <w:sz w:val="24"/>
          <w:lang w:eastAsia="zh-CN"/>
        </w:rPr>
        <w:t>，</w:t>
      </w:r>
      <w:r>
        <w:rPr>
          <w:sz w:val="24"/>
        </w:rPr>
        <w:t>剩余保存期时长不得少于原有保质期时长的三分之二。</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2</w:t>
      </w:r>
      <w:r>
        <w:rPr>
          <w:rFonts w:hint="eastAsia"/>
          <w:sz w:val="24"/>
          <w:lang w:val="en-US" w:eastAsia="zh-CN"/>
        </w:rPr>
        <w:t>2</w:t>
      </w:r>
      <w:r>
        <w:rPr>
          <w:sz w:val="24"/>
        </w:rPr>
        <w:t>.中标人必须无条件配合采购人因为防疫需要而增加的防疫消毒工作，确保食材及其包装外表达到防疫要求。</w:t>
      </w:r>
    </w:p>
    <w:p>
      <w:pPr>
        <w:pStyle w:val="18"/>
        <w:tabs>
          <w:tab w:val="left" w:pos="840"/>
          <w:tab w:val="left" w:pos="1050"/>
        </w:tabs>
        <w:spacing w:before="0" w:beforeLines="0" w:after="0" w:afterLines="0" w:line="360" w:lineRule="auto"/>
        <w:ind w:firstLine="241" w:firstLineChars="100"/>
        <w:rPr>
          <w:rFonts w:hint="eastAsia"/>
          <w:b/>
          <w:bCs/>
          <w:sz w:val="24"/>
        </w:rPr>
      </w:pPr>
      <w:r>
        <w:rPr>
          <w:rFonts w:asciiTheme="minorHAnsi" w:hAnsiTheme="minorHAnsi" w:eastAsiaTheme="minorEastAsia" w:cstheme="minorBidi"/>
          <w:b/>
          <w:kern w:val="2"/>
          <w:sz w:val="24"/>
          <w:szCs w:val="24"/>
          <w:lang w:val="en-US" w:eastAsia="zh-CN" w:bidi="ar-SA"/>
        </w:rPr>
        <w:t>（三）具体项目要求</w:t>
      </w:r>
      <w:r>
        <w:rPr>
          <w:rFonts w:hint="eastAsia" w:ascii="宋体" w:hAnsi="宋体" w:cs="宋体"/>
          <w:b/>
          <w:bCs/>
          <w:sz w:val="24"/>
          <w:szCs w:val="24"/>
          <w:lang w:eastAsia="zh-CN"/>
        </w:rPr>
        <w:t>（</w:t>
      </w:r>
      <w:r>
        <w:rPr>
          <w:rFonts w:hint="eastAsia" w:ascii="宋体" w:hAnsi="宋体" w:cs="宋体"/>
          <w:b/>
          <w:bCs/>
          <w:sz w:val="24"/>
          <w:szCs w:val="24"/>
        </w:rPr>
        <w:t>若</w:t>
      </w:r>
      <w:r>
        <w:rPr>
          <w:rFonts w:hint="eastAsia" w:ascii="宋体" w:hAnsi="宋体" w:cs="宋体"/>
          <w:b/>
          <w:bCs/>
          <w:sz w:val="24"/>
          <w:szCs w:val="24"/>
          <w:lang w:val="en-US" w:eastAsia="zh-CN"/>
        </w:rPr>
        <w:t>以下</w:t>
      </w:r>
      <w:r>
        <w:rPr>
          <w:rFonts w:hint="eastAsia" w:ascii="宋体" w:hAnsi="宋体" w:cs="宋体"/>
          <w:b/>
          <w:bCs/>
          <w:sz w:val="24"/>
          <w:szCs w:val="24"/>
        </w:rPr>
        <w:t>依据、规范、要求出现新版本、更高的标准，将按照新版本执行。</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120"/>
        <w:jc w:val="both"/>
        <w:textAlignment w:val="auto"/>
        <w:outlineLvl w:val="2"/>
      </w:pPr>
      <w:r>
        <w:rPr>
          <w:b/>
          <w:sz w:val="24"/>
          <w:u w:val="single"/>
        </w:rPr>
        <w:t>1.肉类</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rPr>
          <w:sz w:val="24"/>
        </w:rPr>
      </w:pPr>
      <w:r>
        <w:rPr>
          <w:sz w:val="24"/>
        </w:rPr>
        <w:t>⑴所供货物应保持较好的外观和质量等级，符合国家食品部门的有关标准，保证无异味、无霉烂变质，肉类保证来源于正规肉联厂，分割的猪肉每次送货时要有广州市分割肉销售凭据，鲜猪肉每日新鲜、无异味。</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⑵鲜肉[白条猪]净重35KG</w:t>
      </w:r>
      <w:r>
        <w:rPr>
          <w:rFonts w:hint="eastAsia"/>
          <w:sz w:val="24"/>
          <w:lang w:val="en-US" w:eastAsia="zh-CN"/>
        </w:rPr>
        <w:t>或</w:t>
      </w:r>
      <w:r>
        <w:rPr>
          <w:sz w:val="24"/>
        </w:rPr>
        <w:t>以上，去头、去蹄、去板油、去内脏。</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⑶中标人供应的肉类产地如不在广州市内的，则肉类产品必须在广州市相关主管部门报备，否则采购人可拒绝收货。</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rPr>
          <w:highlight w:val="none"/>
        </w:rPr>
      </w:pPr>
      <w:r>
        <w:rPr>
          <w:sz w:val="24"/>
        </w:rPr>
        <w:t>⑷冷冻肉要求肉体冻实而坚硬，无化冻现象，肉质紧密而有弹性，色泽均匀，不粘手，交货时干净、新鲜、无异味，冷冻鱼类要求鱼眼睛清亮，角膜透明，鳞片上覆有冻结的透明黏液层，皮肤天然色泽明显。冷冻食品来源清晰，能准确清</w:t>
      </w:r>
      <w:r>
        <w:rPr>
          <w:sz w:val="24"/>
          <w:highlight w:val="none"/>
        </w:rPr>
        <w:t>晰溯源，对无法溯源的食品采购人有权退货，造成的损失由中标人负责。</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rPr>
          <w:highlight w:val="none"/>
        </w:rPr>
      </w:pPr>
      <w:r>
        <w:rPr>
          <w:sz w:val="24"/>
          <w:highlight w:val="none"/>
        </w:rPr>
        <w:t>⑸中标人应在供货时，提供广州地区肉联厂供货证明材料。</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⑹★中标人应在供货时，提供当批次猪和鸡鸭动物检疫合格证明复印件，并同时提供原件备查。供货时未提供的采购人可以直接退货，中标人应承担一切责任。</w:t>
      </w:r>
      <w:r>
        <w:rPr>
          <w:rFonts w:hint="eastAsia"/>
          <w:sz w:val="24"/>
          <w:lang w:val="en-US" w:eastAsia="zh-CN"/>
        </w:rPr>
        <w:t>投标人</w:t>
      </w:r>
      <w:r>
        <w:rPr>
          <w:sz w:val="24"/>
        </w:rPr>
        <w:t>投标时提供承诺函，格式自拟。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⑺所有货物规格符合采购人提交的日采购计划中明确的具体需求。</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⑻冷冻禽类食品解冻后净重量不少于90％，冷冻猪肉类食品解冻后净重量不少于92%，冷冻水产类食品解冻后净重量不少于82%，解冻时间为4小时以内（室温20℃）。所有冷冻食品要求清晰列出产品品牌、规格、类型、包装方式、包装净重、含冰量等相关参数。</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2"/>
      </w:pPr>
      <w:r>
        <w:rPr>
          <w:b/>
          <w:sz w:val="24"/>
          <w:u w:val="single"/>
        </w:rPr>
        <w:t>2.瓜果蔬菜、辅料、佐料</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⑴供应产品的质量要求：辅料、佐料类必须为正规厂家的产品，瓜、果、蔬菜必须是优质货品，不得含有残留农药或污染物，中标人必须保证所供应的蔬菜符合卫生质量标准，同时承担因所供蔬菜问题引起的一切事故后果。卫生质量指标，应符合我国无公害蔬菜上的卫生指标规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0"/>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30" w:type="dxa"/>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rPr>
            </w:pPr>
            <w:r>
              <w:rPr>
                <w:b/>
                <w:bCs/>
                <w:sz w:val="24"/>
              </w:rPr>
              <w:t>项目</w:t>
            </w:r>
          </w:p>
        </w:tc>
        <w:tc>
          <w:tcPr>
            <w:tcW w:w="4776" w:type="dxa"/>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rPr>
            </w:pPr>
            <w:r>
              <w:rPr>
                <w:b/>
                <w:bCs/>
                <w:sz w:val="24"/>
              </w:rPr>
              <w:t>指</w:t>
            </w:r>
            <w:r>
              <w:rPr>
                <w:b/>
                <w:bCs/>
                <w:sz w:val="21"/>
              </w:rPr>
              <w:t xml:space="preserve"> </w:t>
            </w:r>
            <w:r>
              <w:rPr>
                <w:b/>
                <w:bCs/>
                <w:sz w:val="24"/>
              </w:rPr>
              <w:t>标（mg/kg）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甲胺磷</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甲拌磷</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氧化乐果</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甲基对硫磷</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呋喃丹</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百菌清</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多菌灵</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汞（以Hg计）</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铅（以Pb计）</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砷（以As计）</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氟（以F计）</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硝酸盐（以NaNO3计）</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瓜果类≤600；叶菜根茎类≤1200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0"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亚硝酸盐（以NaNO2计）</w:t>
            </w:r>
          </w:p>
        </w:tc>
        <w:tc>
          <w:tcPr>
            <w:tcW w:w="4776"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≤4</w:t>
            </w:r>
          </w:p>
        </w:tc>
      </w:tr>
    </w:tbl>
    <w:p>
      <w:pPr>
        <w:keepNext w:val="0"/>
        <w:keepLines w:val="0"/>
        <w:pageBreakBefore w:val="0"/>
        <w:widowControl w:val="0"/>
        <w:kinsoku/>
        <w:wordWrap/>
        <w:overflowPunct/>
        <w:topLinePunct w:val="0"/>
        <w:autoSpaceDE/>
        <w:autoSpaceDN/>
        <w:bidi w:val="0"/>
        <w:adjustRightInd/>
        <w:snapToGrid/>
        <w:spacing w:line="360" w:lineRule="auto"/>
        <w:ind w:firstLine="360"/>
        <w:jc w:val="left"/>
        <w:textAlignment w:val="auto"/>
      </w:pPr>
      <w:r>
        <w:rPr>
          <w:sz w:val="24"/>
        </w:rPr>
        <w:t>⑵具体感观要求：</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①从蔬菜色泽看，各种蔬菜都应具有本品种固有的颜色，大多数有发亮的光泽，以此显示蔬菜的成熟度及鲜嫩程度。</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②从蔬菜气味看，多数蔬菜具有清馨、甘辛香、甜酸香等气味，可凭嗅觉识别不同品种的质量，不允许有腐烂变质的亚硝酸盐味和其他异常气味。</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③从蔬菜滋味看，因品种不同而各异，多数蔬菜滋味甘淡、甜酸、清爽鲜美，少数具有辛酸、苦涩等特殊风味以刺激食欲，如失去本品种原有的滋味即为异常。</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④从蔬菜形态看，应尽量避免由于客观因素而造成的各种非正常、不新鲜的蔬菜，例如萎蔫、枯塌、损伤、病变、虫害侵蚀等引起的形态异常等。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叶菜类：</w:t>
      </w:r>
      <w:r>
        <w:rPr>
          <w:sz w:val="24"/>
        </w:rPr>
        <w:t>大白菜、小白菜、菠菜、甘蓝、荠菜、空心菜、茼蒿、苋菜、芹菜等绿叶菜类。</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茄果类：</w:t>
      </w:r>
      <w:r>
        <w:rPr>
          <w:sz w:val="24"/>
        </w:rPr>
        <w:t>番茄、茄子、甜椒、辣椒等。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属同一品种规格，果实整洁，成熟度适中，番茄花蒂不明显，无裂果及空洞现象，茄果不能有裂蒂及果皮变硬现象，无腐烂、畸形、异味，无明显机械伤。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瓜果类：</w:t>
      </w:r>
      <w:r>
        <w:rPr>
          <w:sz w:val="24"/>
        </w:rPr>
        <w:t>黄瓜、冬瓜、丝瓜、苦瓜、南瓜、毛节瓜等。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属同一品种规格，形状、色泽一致，瓜条均匀，无疤点，无断裂，无腐烂、畸形、异味、明显机械伤，不带泥土。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sz w:val="24"/>
        </w:rPr>
        <w:t>根菜类：萝卜、胡萝卜等。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属同一品种规格，皮细光滑，大小均匀，肉质脆嫩致密新鲜，无腐烂、畸形、裂痕、糠心、异味，不带泥沙，不带茎叶和须根。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薯芋类：</w:t>
      </w:r>
      <w:r>
        <w:rPr>
          <w:sz w:val="24"/>
        </w:rPr>
        <w:t>马铃薯、芋、姜等。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葱蒜类：</w:t>
      </w:r>
      <w:r>
        <w:rPr>
          <w:sz w:val="24"/>
        </w:rPr>
        <w:t>葱、蒜、韭菜、洋葱等。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豆类：</w:t>
      </w:r>
      <w:r>
        <w:rPr>
          <w:sz w:val="24"/>
        </w:rPr>
        <w:t>扁豆、豌豆、毛豆等。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水生菜类</w:t>
      </w:r>
      <w:r>
        <w:rPr>
          <w:sz w:val="24"/>
        </w:rPr>
        <w:t>：藕、慈菇、茭白、马蹄、菱等。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属同一品种规格，肉质嫩，成熟度适中，无腐烂、畸形、异味，无明显机械伤，不带泥土和杂质，不干瘪，茭白不黑心。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食用菌类：</w:t>
      </w:r>
      <w:r>
        <w:rPr>
          <w:sz w:val="24"/>
        </w:rPr>
        <w:t>蘑菇、草菇、香菇、木耳等。</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属同一品种规格，蘑菇、草菇菌盖圆整略展开，柄粗壮，菌膜紧，菇柄切削平整，不浸泡水（蘑菇允许浸盐水保鲜），新鲜，无杂质，无畸形菇，无腐烂、异味。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芽苗类：</w:t>
      </w:r>
      <w:r>
        <w:rPr>
          <w:sz w:val="24"/>
        </w:rPr>
        <w:t>绿豆芽、黄豆芽、香樁苗等。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sz w:val="24"/>
        </w:rPr>
        <w:t>芽苗幼嫩，不带豆壳杂质，新鲜，不浸水，无腐烂、异味。</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⑶食品供应链要求：所有食品的来源必须清晰。蔬菜来源应当于受到地方政府部门监管的自有基地、商品菜基地或蔬菜专业流通市场，严禁收购散户农民的蔬菜供应。自有、租赁或者合作经营农业基地（包括蔬菜基地、水果基地及家禽基地）面积应满足采购需求。</w:t>
      </w:r>
    </w:p>
    <w:p>
      <w:pPr>
        <w:keepNext w:val="0"/>
        <w:keepLines w:val="0"/>
        <w:pageBreakBefore w:val="0"/>
        <w:widowControl w:val="0"/>
        <w:kinsoku/>
        <w:wordWrap/>
        <w:overflowPunct/>
        <w:topLinePunct w:val="0"/>
        <w:autoSpaceDE/>
        <w:autoSpaceDN/>
        <w:bidi w:val="0"/>
        <w:adjustRightInd/>
        <w:snapToGrid/>
        <w:spacing w:line="360" w:lineRule="auto"/>
        <w:ind w:firstLine="361"/>
        <w:jc w:val="left"/>
        <w:textAlignment w:val="auto"/>
        <w:outlineLvl w:val="2"/>
      </w:pPr>
      <w:r>
        <w:rPr>
          <w:b/>
          <w:sz w:val="24"/>
        </w:rPr>
        <w:t>3.相关品种：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⑴蔬菜瓜类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817"/>
        <w:gridCol w:w="1021"/>
        <w:gridCol w:w="1893"/>
        <w:gridCol w:w="103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6"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817"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1021"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893"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1036"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532"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通心菜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土豆</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榨菜丝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4</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春菜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5</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西红柿</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6</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白豆角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7</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小白菜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8</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白萝卜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9</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青豆角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10</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小塘菜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11</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288"/>
              <w:jc w:val="center"/>
              <w:textAlignment w:val="auto"/>
            </w:pPr>
            <w:r>
              <w:rPr>
                <w:sz w:val="24"/>
              </w:rPr>
              <w:t>红萝卜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南瓜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13</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菜心</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14</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白瓜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15</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云南小瓜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16</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奶白菜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17</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青瓜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18</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19</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芥菜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20</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茄瓜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生菜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22</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油麦菜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23</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椰菜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24</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大白菜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25</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京包菜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26</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菜花</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27</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西芹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28</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绿豆芽</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29</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生姜</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30</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31</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韭菜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32</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黄豆芽</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33</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榨菜/件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34</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胡萝卜</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35</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土豆</w:t>
            </w:r>
          </w:p>
        </w:tc>
        <w:tc>
          <w:tcPr>
            <w:tcW w:w="10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36</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洋葱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⑵豆制品类：</w:t>
      </w:r>
    </w:p>
    <w:tbl>
      <w:tblPr>
        <w:tblStyle w:val="1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6"/>
        <w:gridCol w:w="2058"/>
        <w:gridCol w:w="946"/>
        <w:gridCol w:w="1772"/>
        <w:gridCol w:w="946"/>
        <w:gridCol w:w="16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058"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46"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772"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46"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637"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w:t>
            </w:r>
          </w:p>
        </w:tc>
        <w:tc>
          <w:tcPr>
            <w:tcW w:w="205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豆腐/板</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五香豆干</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w:t>
            </w:r>
          </w:p>
        </w:tc>
        <w:tc>
          <w:tcPr>
            <w:tcW w:w="1637"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香干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4</w:t>
            </w:r>
          </w:p>
        </w:tc>
        <w:tc>
          <w:tcPr>
            <w:tcW w:w="205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大豆干</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5</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小豆干</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6</w:t>
            </w:r>
          </w:p>
        </w:tc>
        <w:tc>
          <w:tcPr>
            <w:tcW w:w="1637"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玉子豆腐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7</w:t>
            </w:r>
          </w:p>
        </w:tc>
        <w:tc>
          <w:tcPr>
            <w:tcW w:w="205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豆腐皮</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8</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面筋</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9</w:t>
            </w:r>
          </w:p>
        </w:tc>
        <w:tc>
          <w:tcPr>
            <w:tcW w:w="1637"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饺子皮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10</w:t>
            </w:r>
          </w:p>
        </w:tc>
        <w:tc>
          <w:tcPr>
            <w:tcW w:w="205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炸豆腐</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11</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牛奶</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12</w:t>
            </w:r>
          </w:p>
        </w:tc>
        <w:tc>
          <w:tcPr>
            <w:tcW w:w="1637"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奶粉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5" w:type="dxa"/>
            <w:gridSpan w:val="6"/>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⑶鱼类:</w:t>
      </w:r>
    </w:p>
    <w:tbl>
      <w:tblPr>
        <w:tblStyle w:val="1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2016"/>
        <w:gridCol w:w="933"/>
        <w:gridCol w:w="1745"/>
        <w:gridCol w:w="933"/>
        <w:gridCol w:w="17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3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016"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33"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74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33"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74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大福寿鱼/活</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鲈鱼/活</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大鲩鱼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4</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鲫鱼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5</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生鱼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6</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桂花鱼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7</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金昌鱼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8</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鲶鱼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9</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鲜带鱼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10</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鲮鱼肉</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11</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大鱼尾</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12</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冰鲜红珊鱼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13</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大头鱼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14</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小仓鱼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15</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大鱼肉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16</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鳊鱼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17</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泥鳅</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18</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鲮鱼骨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19</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咸鱼仔</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20</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扁鱼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21</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仓鱼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22</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木头鱼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23</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秋刀鱼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24</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硬边鲩鱼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25</w:t>
            </w:r>
          </w:p>
        </w:tc>
        <w:tc>
          <w:tcPr>
            <w:tcW w:w="201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开边鲩鱼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26</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鲩鱼</w:t>
            </w:r>
          </w:p>
        </w:tc>
        <w:tc>
          <w:tcPr>
            <w:tcW w:w="93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27</w:t>
            </w:r>
          </w:p>
        </w:tc>
        <w:tc>
          <w:tcPr>
            <w:tcW w:w="174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大鱼头开边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5" w:type="dxa"/>
            <w:gridSpan w:val="6"/>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⑷冻品类:</w:t>
      </w:r>
    </w:p>
    <w:tbl>
      <w:tblPr>
        <w:tblStyle w:val="1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2164"/>
        <w:gridCol w:w="955"/>
        <w:gridCol w:w="1894"/>
        <w:gridCol w:w="955"/>
        <w:gridCol w:w="15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164"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5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894"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5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559"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冻鸡胸肉</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冻无皮花肉</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冻前排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4</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鸡中亦</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5</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鸡亦尖</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6</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小鸡腿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7</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冻鸭胸肉</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8</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冻鸡壳</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9</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冻鸡肾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10</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冻有皮花肉</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11</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大鸡腿</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12</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冻鸡脚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13</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冻猪舌</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14</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冻猪脚</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15</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冻猪耳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16</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冻小排</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17</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冻肋排</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18</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冻猪手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19</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冻脊骨</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20</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冻筒骨</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21</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冻鸭肾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22</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冻鱿鱼</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23</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冻猪肚</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24</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后冻肉排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25</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冻全羊肉</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26</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冻肥牛</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27</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冻牛肉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28</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冻羊肉卷</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29</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冻兔肉</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30</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冻鸡翼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31</w:t>
            </w:r>
          </w:p>
        </w:tc>
        <w:tc>
          <w:tcPr>
            <w:tcW w:w="21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冻带鱼</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32</w:t>
            </w:r>
          </w:p>
        </w:tc>
        <w:tc>
          <w:tcPr>
            <w:tcW w:w="189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冻鱿鱼须</w:t>
            </w:r>
          </w:p>
        </w:tc>
        <w:tc>
          <w:tcPr>
            <w:tcW w:w="95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33</w:t>
            </w:r>
          </w:p>
        </w:tc>
        <w:tc>
          <w:tcPr>
            <w:tcW w:w="155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冻红珊鱼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nil"/>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34</w:t>
            </w:r>
          </w:p>
        </w:tc>
        <w:tc>
          <w:tcPr>
            <w:tcW w:w="2164" w:type="dxa"/>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冻南昌鱼</w:t>
            </w:r>
          </w:p>
        </w:tc>
        <w:tc>
          <w:tcPr>
            <w:tcW w:w="955" w:type="dxa"/>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35</w:t>
            </w:r>
          </w:p>
        </w:tc>
        <w:tc>
          <w:tcPr>
            <w:tcW w:w="1894" w:type="dxa"/>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冻鱿鱼亦</w:t>
            </w:r>
          </w:p>
        </w:tc>
        <w:tc>
          <w:tcPr>
            <w:tcW w:w="955" w:type="dxa"/>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w:t>
            </w:r>
          </w:p>
        </w:tc>
        <w:tc>
          <w:tcPr>
            <w:tcW w:w="1559" w:type="dxa"/>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sz w:val="24"/>
              </w:rPr>
              <w:t>表格未有列明的货物，按采购人具体要求货物供货</w:t>
            </w:r>
          </w:p>
        </w:tc>
      </w:tr>
    </w:tbl>
    <w:p>
      <w:pPr>
        <w:rPr>
          <w:b/>
          <w:sz w:val="24"/>
        </w:rPr>
      </w:pPr>
      <w:r>
        <w:rPr>
          <w:b/>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b/>
          <w:sz w:val="24"/>
        </w:rPr>
      </w:pPr>
      <w:r>
        <w:rPr>
          <w:b/>
          <w:sz w:val="24"/>
        </w:rPr>
        <w:t>⑸肉类:</w:t>
      </w:r>
    </w:p>
    <w:tbl>
      <w:tblPr>
        <w:tblStyle w:val="11"/>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5"/>
        <w:gridCol w:w="1653"/>
        <w:gridCol w:w="926"/>
        <w:gridCol w:w="2054"/>
        <w:gridCol w:w="825"/>
        <w:gridCol w:w="190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653"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26"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054"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825"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904"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牛肉</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牛肉滑</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鲜猪肉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牛肉丸</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鱼丸</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6.</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白切鸡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7.</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竹丝鸡</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8.</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麻鸡</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9.</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光鸡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10.</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番鸭</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11.</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鸡</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12.</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鹌鹑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13.</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乳鸡</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14.</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老鸡</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15.</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清远鸡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16.</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烧鸡</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17.</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烧鸭</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18.</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田鸡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19.</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盐焗鸡</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20.</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水鸭</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21.</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卤水鸭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22.</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卤水鸡</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23.</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上肉</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24.</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花肉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25.</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鲜排骨</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26.</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肉眼</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27.</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28.</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猪脚</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29.</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新鲜猪肚</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30.</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肥肉头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31.</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猪头肉</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32.</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腩排</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33.</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牛坑腩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34.</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牛柏楠</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35.</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牛腩</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36.</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37.</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新鲜狗肉</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38.</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新鲜羊肉</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39.</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猪肉丸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40.</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猪肉滑</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41.</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火腿</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42.</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肉卷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43.</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牛节</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44.</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牛肚</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45.</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46.</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叉烧</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47.</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烧腩肉</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48.</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大骨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49.</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鲜脊骨</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50.</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猪尾</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51.</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猪脑（付）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52.</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猪利</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53.</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猪横脷（条）</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54.</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55.</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猪耳</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56.</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猪肠子</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57.</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鲮鱼滑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58.</w:t>
            </w:r>
          </w:p>
        </w:tc>
        <w:tc>
          <w:tcPr>
            <w:tcW w:w="165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鱼腐</w:t>
            </w:r>
          </w:p>
        </w:tc>
        <w:tc>
          <w:tcPr>
            <w:tcW w:w="92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firstLineChars="0"/>
              <w:jc w:val="center"/>
              <w:textAlignment w:val="auto"/>
              <w:rPr>
                <w:rFonts w:asciiTheme="minorHAnsi" w:hAnsiTheme="minorHAnsi" w:eastAsiaTheme="minorEastAsia" w:cstheme="minorBidi"/>
                <w:kern w:val="2"/>
                <w:sz w:val="21"/>
                <w:szCs w:val="24"/>
                <w:lang w:val="en-US" w:eastAsia="zh-CN" w:bidi="ar-SA"/>
              </w:rPr>
            </w:pPr>
            <w:r>
              <w:rPr>
                <w:sz w:val="24"/>
              </w:rPr>
              <w:t>59.</w:t>
            </w:r>
          </w:p>
        </w:tc>
        <w:tc>
          <w:tcPr>
            <w:tcW w:w="205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鱼滑</w:t>
            </w:r>
          </w:p>
        </w:tc>
        <w:tc>
          <w:tcPr>
            <w:tcW w:w="82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w:t>
            </w:r>
          </w:p>
        </w:tc>
        <w:tc>
          <w:tcPr>
            <w:tcW w:w="190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HAnsi" w:hAnsiTheme="minorHAnsi" w:eastAsiaTheme="minorEastAsia" w:cstheme="minorBidi"/>
                <w:kern w:val="2"/>
                <w:sz w:val="21"/>
                <w:szCs w:val="24"/>
                <w:lang w:val="en-US" w:eastAsia="zh-CN" w:bidi="ar-SA"/>
              </w:rPr>
            </w:pPr>
            <w:r>
              <w:rPr>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b/>
          <w:sz w:val="24"/>
        </w:rPr>
      </w:pPr>
      <w:r>
        <w:rPr>
          <w:b/>
          <w:sz w:val="24"/>
        </w:rPr>
        <w:t>⑹蛋类:</w:t>
      </w:r>
    </w:p>
    <w:tbl>
      <w:tblPr>
        <w:tblStyle w:val="11"/>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5"/>
        <w:gridCol w:w="1653"/>
        <w:gridCol w:w="926"/>
        <w:gridCol w:w="2054"/>
        <w:gridCol w:w="825"/>
        <w:gridCol w:w="190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blHeader/>
        </w:trPr>
        <w:tc>
          <w:tcPr>
            <w:tcW w:w="9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653"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26"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054"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825"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904"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w:t>
            </w:r>
          </w:p>
        </w:tc>
        <w:tc>
          <w:tcPr>
            <w:tcW w:w="1653"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咸蛋</w:t>
            </w:r>
          </w:p>
        </w:tc>
        <w:tc>
          <w:tcPr>
            <w:tcW w:w="926"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w:t>
            </w:r>
          </w:p>
        </w:tc>
        <w:tc>
          <w:tcPr>
            <w:tcW w:w="20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鸡蛋</w:t>
            </w:r>
          </w:p>
        </w:tc>
        <w:tc>
          <w:tcPr>
            <w:tcW w:w="825"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w:t>
            </w:r>
          </w:p>
        </w:tc>
        <w:tc>
          <w:tcPr>
            <w:tcW w:w="190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皮蛋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rPr>
          <w:b/>
          <w:sz w:val="24"/>
        </w:rPr>
      </w:pPr>
      <w:r>
        <w:rPr>
          <w:b/>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⑺杂类</w:t>
      </w:r>
    </w:p>
    <w:tbl>
      <w:tblPr>
        <w:tblStyle w:val="11"/>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5"/>
        <w:gridCol w:w="1728"/>
        <w:gridCol w:w="851"/>
        <w:gridCol w:w="2054"/>
        <w:gridCol w:w="825"/>
        <w:gridCol w:w="190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728"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851"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054"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825"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904" w:type="dxa"/>
            <w:tcBorders>
              <w:top w:val="single" w:color="000000" w:sz="4" w:space="0"/>
              <w:left w:val="nil"/>
              <w:bottom w:val="single" w:color="000000" w:sz="4" w:space="0"/>
              <w:right w:val="single" w:color="000000" w:sz="4" w:space="0"/>
            </w:tcBorders>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w:t>
            </w:r>
          </w:p>
        </w:tc>
        <w:tc>
          <w:tcPr>
            <w:tcW w:w="1728"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松花</w:t>
            </w:r>
          </w:p>
        </w:tc>
        <w:tc>
          <w:tcPr>
            <w:tcW w:w="851"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w:t>
            </w:r>
          </w:p>
        </w:tc>
        <w:tc>
          <w:tcPr>
            <w:tcW w:w="20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百合</w:t>
            </w:r>
          </w:p>
        </w:tc>
        <w:tc>
          <w:tcPr>
            <w:tcW w:w="825"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w:t>
            </w:r>
          </w:p>
        </w:tc>
        <w:tc>
          <w:tcPr>
            <w:tcW w:w="190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榄角（包）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w:t>
            </w:r>
          </w:p>
        </w:tc>
        <w:tc>
          <w:tcPr>
            <w:tcW w:w="1728"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猪红</w:t>
            </w:r>
          </w:p>
        </w:tc>
        <w:tc>
          <w:tcPr>
            <w:tcW w:w="851"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w:t>
            </w:r>
          </w:p>
        </w:tc>
        <w:tc>
          <w:tcPr>
            <w:tcW w:w="20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菠萝肉</w:t>
            </w:r>
          </w:p>
        </w:tc>
        <w:tc>
          <w:tcPr>
            <w:tcW w:w="825"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w:t>
            </w:r>
          </w:p>
        </w:tc>
        <w:tc>
          <w:tcPr>
            <w:tcW w:w="190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5"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w:t>
            </w:r>
          </w:p>
        </w:tc>
        <w:tc>
          <w:tcPr>
            <w:tcW w:w="1728"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干沙姜</w:t>
            </w:r>
          </w:p>
        </w:tc>
        <w:tc>
          <w:tcPr>
            <w:tcW w:w="851"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w:t>
            </w:r>
          </w:p>
        </w:tc>
        <w:tc>
          <w:tcPr>
            <w:tcW w:w="20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冬菜</w:t>
            </w:r>
          </w:p>
        </w:tc>
        <w:tc>
          <w:tcPr>
            <w:tcW w:w="825"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9.</w:t>
            </w:r>
          </w:p>
        </w:tc>
        <w:tc>
          <w:tcPr>
            <w:tcW w:w="190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针菜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pPr>
      <w:r>
        <w:rPr>
          <w:b/>
          <w:sz w:val="24"/>
          <w:u w:val="single"/>
        </w:rPr>
        <w:t>4.粮油、面粉、豆类</w:t>
      </w:r>
    </w:p>
    <w:p>
      <w:pPr>
        <w:keepNext w:val="0"/>
        <w:keepLines w:val="0"/>
        <w:pageBreakBefore w:val="0"/>
        <w:widowControl w:val="0"/>
        <w:kinsoku/>
        <w:wordWrap/>
        <w:overflowPunct/>
        <w:topLinePunct w:val="0"/>
        <w:autoSpaceDE/>
        <w:autoSpaceDN/>
        <w:bidi w:val="0"/>
        <w:adjustRightInd/>
        <w:snapToGrid/>
        <w:spacing w:line="360" w:lineRule="auto"/>
        <w:ind w:firstLine="240"/>
        <w:jc w:val="left"/>
        <w:textAlignment w:val="auto"/>
      </w:pPr>
      <w:r>
        <w:rPr>
          <w:sz w:val="24"/>
        </w:rPr>
        <w:t>⑴供应产品的质量要求：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①米、油、面粉、豆类货物必须符合卫生要求，不得有腐烂、变质、油脂酸败、霉变、生虫、污秽不洁、混有异物或者其他感官性状异常，并可能对人体健康有害的物质,必须为非转基因食材。</w:t>
      </w:r>
    </w:p>
    <w:p>
      <w:pPr>
        <w:keepNext w:val="0"/>
        <w:keepLines w:val="0"/>
        <w:pageBreakBefore w:val="0"/>
        <w:widowControl w:val="0"/>
        <w:kinsoku/>
        <w:wordWrap/>
        <w:overflowPunct/>
        <w:topLinePunct w:val="0"/>
        <w:autoSpaceDE/>
        <w:autoSpaceDN/>
        <w:bidi w:val="0"/>
        <w:adjustRightInd/>
        <w:snapToGrid/>
        <w:spacing w:line="360" w:lineRule="auto"/>
        <w:ind w:firstLine="240"/>
        <w:jc w:val="both"/>
        <w:textAlignment w:val="auto"/>
      </w:pPr>
      <w:r>
        <w:rPr>
          <w:sz w:val="24"/>
        </w:rPr>
        <w:t>②大米、油：</w:t>
      </w:r>
      <w:r>
        <w:rPr>
          <w:b/>
          <w:sz w:val="24"/>
          <w:u w:val="single"/>
        </w:rPr>
        <w:t>要提供</w:t>
      </w:r>
      <w:r>
        <w:rPr>
          <w:rFonts w:hint="eastAsia"/>
          <w:b/>
          <w:sz w:val="24"/>
          <w:u w:val="single"/>
          <w:lang w:val="en-US" w:eastAsia="zh-CN"/>
        </w:rPr>
        <w:t>SC编号证书</w:t>
      </w:r>
      <w:r>
        <w:rPr>
          <w:b/>
          <w:sz w:val="24"/>
          <w:u w:val="single"/>
        </w:rPr>
        <w:t>、相关部门发出的产品检验合格证书</w:t>
      </w:r>
      <w:r>
        <w:rPr>
          <w:sz w:val="24"/>
        </w:rPr>
        <w:t>。包装食品：包装箱完整，同时包装箱要印有注册商标、生产厂家名称、厂址、出厂日期、产品合格证、保质期限、产品成份、厂家电话号码。</w:t>
      </w:r>
      <w:r>
        <w:rPr>
          <w:b/>
          <w:sz w:val="24"/>
          <w:u w:val="single"/>
        </w:rPr>
        <w:t>散装豆类：提供生产厂家营业执照、相关部门发出的产品检验合格证书</w:t>
      </w:r>
      <w:r>
        <w:rPr>
          <w:sz w:val="24"/>
        </w:rPr>
        <w:t>。</w:t>
      </w:r>
      <w:r>
        <w:rPr>
          <w:rFonts w:hint="eastAsia"/>
          <w:sz w:val="24"/>
          <w:lang w:val="en-US" w:eastAsia="zh-CN"/>
        </w:rPr>
        <w:t>中标人</w:t>
      </w:r>
      <w:r>
        <w:rPr>
          <w:sz w:val="24"/>
        </w:rPr>
        <w:t>所提供产品质量必须要符合行业标准要求，不得有掺假、变质、变味、过期等现象出现，严禁伪劣、假冒、无证不合格</w:t>
      </w:r>
      <w:r>
        <w:rPr>
          <w:rFonts w:hint="eastAsia"/>
          <w:sz w:val="24"/>
          <w:lang w:val="en-US" w:eastAsia="zh-CN"/>
        </w:rPr>
        <w:t>货物</w:t>
      </w:r>
      <w:r>
        <w:rPr>
          <w:sz w:val="24"/>
        </w:rPr>
        <w:t>进入仓库。</w:t>
      </w:r>
    </w:p>
    <w:p>
      <w:pPr>
        <w:keepNext w:val="0"/>
        <w:keepLines w:val="0"/>
        <w:pageBreakBefore w:val="0"/>
        <w:widowControl w:val="0"/>
        <w:kinsoku/>
        <w:wordWrap/>
        <w:overflowPunct/>
        <w:topLinePunct w:val="0"/>
        <w:autoSpaceDE/>
        <w:autoSpaceDN/>
        <w:bidi w:val="0"/>
        <w:adjustRightInd/>
        <w:snapToGrid/>
        <w:spacing w:line="360" w:lineRule="auto"/>
        <w:ind w:firstLine="240"/>
        <w:jc w:val="both"/>
        <w:textAlignment w:val="auto"/>
        <w:rPr>
          <w:sz w:val="24"/>
          <w:highlight w:val="none"/>
        </w:rPr>
      </w:pPr>
      <w:r>
        <w:rPr>
          <w:sz w:val="24"/>
        </w:rPr>
        <w:t>③中标人在供应过程中，如果发生出现质量问题或造成食物中毒，如变质等情</w:t>
      </w:r>
      <w:r>
        <w:rPr>
          <w:sz w:val="24"/>
          <w:highlight w:val="none"/>
        </w:rPr>
        <w:t>况，经查实后确属中标人责任，中标人应承担全部责任，主要包括食物中毒人员医疗费、误工费、事故处理费等，直至追究当事人的刑事责任。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firstLine="240"/>
        <w:jc w:val="both"/>
        <w:textAlignment w:val="auto"/>
        <w:rPr>
          <w:sz w:val="24"/>
          <w:highlight w:val="none"/>
        </w:rPr>
      </w:pPr>
      <w:r>
        <w:rPr>
          <w:rFonts w:hint="eastAsia"/>
          <w:sz w:val="24"/>
          <w:highlight w:val="none"/>
          <w:lang w:val="en-US" w:eastAsia="zh-CN"/>
        </w:rPr>
        <w:t>④</w:t>
      </w:r>
      <w:r>
        <w:rPr>
          <w:sz w:val="24"/>
          <w:highlight w:val="none"/>
        </w:rPr>
        <w:t>中标人应在供货时，提供生产厂家出具的大米、食用调和油和花生油供货证明材料。</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⑵执行标准：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sz w:val="24"/>
        </w:rPr>
        <w:t>①大米品种要求为标一晚三级米。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Theme="minorEastAsia"/>
          <w:lang w:val="en-US" w:eastAsia="zh-CN"/>
        </w:rPr>
      </w:pPr>
      <w:r>
        <w:rPr>
          <w:sz w:val="24"/>
        </w:rPr>
        <w:t>②米类执行</w:t>
      </w:r>
      <w:r>
        <w:rPr>
          <w:color w:val="auto"/>
          <w:sz w:val="24"/>
        </w:rPr>
        <w:t>标准：GB2762-</w:t>
      </w:r>
      <w:r>
        <w:rPr>
          <w:rFonts w:hint="eastAsia"/>
          <w:color w:val="auto"/>
          <w:sz w:val="24"/>
          <w:lang w:val="en-US" w:eastAsia="zh-CN"/>
        </w:rPr>
        <w:t>2022</w:t>
      </w:r>
      <w:r>
        <w:rPr>
          <w:color w:val="auto"/>
          <w:sz w:val="24"/>
        </w:rPr>
        <w:t xml:space="preserve">  GB2761-2017  GB2763-</w:t>
      </w:r>
      <w:r>
        <w:rPr>
          <w:rFonts w:hint="eastAsia"/>
          <w:color w:val="auto"/>
          <w:sz w:val="24"/>
          <w:lang w:val="en-US" w:eastAsia="zh-CN"/>
        </w:rPr>
        <w:t xml:space="preserve">2021 </w:t>
      </w:r>
      <w:r>
        <w:rPr>
          <w:color w:val="auto"/>
          <w:sz w:val="24"/>
        </w:rPr>
        <w:t xml:space="preserve"> GB</w:t>
      </w:r>
      <w:r>
        <w:rPr>
          <w:rFonts w:hint="eastAsia"/>
          <w:color w:val="auto"/>
          <w:sz w:val="24"/>
          <w:lang w:val="en-US" w:eastAsia="zh-CN"/>
        </w:rPr>
        <w:t>/T</w:t>
      </w:r>
      <w:r>
        <w:rPr>
          <w:color w:val="auto"/>
          <w:sz w:val="24"/>
        </w:rPr>
        <w:t>1354—</w:t>
      </w:r>
      <w:r>
        <w:rPr>
          <w:rFonts w:hint="eastAsia"/>
          <w:color w:val="auto"/>
          <w:sz w:val="24"/>
          <w:lang w:val="en-US" w:eastAsia="zh-CN"/>
        </w:rPr>
        <w:t>2018</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sz w:val="24"/>
        </w:rPr>
        <w:t>③大米的质量标准：除符合标准一等米外，要求：</w:t>
      </w:r>
    </w:p>
    <w:p>
      <w:pPr>
        <w:keepNext w:val="0"/>
        <w:keepLines w:val="0"/>
        <w:pageBreakBefore w:val="0"/>
        <w:widowControl w:val="0"/>
        <w:kinsoku/>
        <w:wordWrap/>
        <w:overflowPunct/>
        <w:topLinePunct w:val="0"/>
        <w:autoSpaceDE/>
        <w:autoSpaceDN/>
        <w:bidi w:val="0"/>
        <w:adjustRightInd/>
        <w:snapToGrid/>
        <w:spacing w:line="360" w:lineRule="auto"/>
        <w:ind w:firstLine="720"/>
        <w:jc w:val="left"/>
        <w:textAlignment w:val="auto"/>
      </w:pPr>
      <w:r>
        <w:rPr>
          <w:sz w:val="24"/>
        </w:rPr>
        <w:t>碎米总量≤17%   （国家标准：≤35%）</w:t>
      </w:r>
    </w:p>
    <w:p>
      <w:pPr>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pPr>
      <w:r>
        <w:rPr>
          <w:sz w:val="24"/>
        </w:rPr>
        <w:t>小碎米总量≤2% （国家标准：≤2.5%）</w:t>
      </w:r>
    </w:p>
    <w:p>
      <w:pPr>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pPr>
      <w:r>
        <w:rPr>
          <w:sz w:val="24"/>
        </w:rPr>
        <w:t>不完善粒≤3.5%  （国家标准：≤4.0%）</w:t>
      </w:r>
    </w:p>
    <w:p>
      <w:pPr>
        <w:keepNext w:val="0"/>
        <w:keepLines w:val="0"/>
        <w:pageBreakBefore w:val="0"/>
        <w:widowControl w:val="0"/>
        <w:kinsoku/>
        <w:wordWrap/>
        <w:overflowPunct/>
        <w:topLinePunct w:val="0"/>
        <w:autoSpaceDE/>
        <w:autoSpaceDN/>
        <w:bidi w:val="0"/>
        <w:adjustRightInd/>
        <w:snapToGrid/>
        <w:spacing w:line="360" w:lineRule="auto"/>
        <w:ind w:firstLine="720"/>
        <w:jc w:val="both"/>
        <w:textAlignment w:val="auto"/>
      </w:pPr>
      <w:r>
        <w:rPr>
          <w:sz w:val="24"/>
        </w:rPr>
        <w:t>黄米粒按国家标准执行。</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03"/>
        <w:gridCol w:w="1454"/>
        <w:gridCol w:w="25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检验项目</w:t>
            </w:r>
          </w:p>
        </w:tc>
        <w:tc>
          <w:tcPr>
            <w:tcW w:w="1454" w:type="dxa"/>
            <w:tcBorders>
              <w:top w:val="single" w:color="000000" w:sz="4" w:space="0"/>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单位</w:t>
            </w:r>
          </w:p>
        </w:tc>
        <w:tc>
          <w:tcPr>
            <w:tcW w:w="2549" w:type="dxa"/>
            <w:tcBorders>
              <w:top w:val="single" w:color="000000" w:sz="4" w:space="0"/>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标准要求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3"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镉（以Cd计）≤</w:t>
            </w:r>
          </w:p>
        </w:tc>
        <w:tc>
          <w:tcPr>
            <w:tcW w:w="14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mg/kg</w:t>
            </w:r>
          </w:p>
        </w:tc>
        <w:tc>
          <w:tcPr>
            <w:tcW w:w="2549"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3"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汞(以Hg计) ≤</w:t>
            </w:r>
          </w:p>
        </w:tc>
        <w:tc>
          <w:tcPr>
            <w:tcW w:w="14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mg/kg</w:t>
            </w:r>
          </w:p>
        </w:tc>
        <w:tc>
          <w:tcPr>
            <w:tcW w:w="2549"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3"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六六六(以成品粮计) ≤</w:t>
            </w:r>
          </w:p>
        </w:tc>
        <w:tc>
          <w:tcPr>
            <w:tcW w:w="14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mg/kg</w:t>
            </w:r>
          </w:p>
        </w:tc>
        <w:tc>
          <w:tcPr>
            <w:tcW w:w="2549"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3"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滴滴涕((以成品粮计) ≤</w:t>
            </w:r>
          </w:p>
        </w:tc>
        <w:tc>
          <w:tcPr>
            <w:tcW w:w="14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mg/kg</w:t>
            </w:r>
          </w:p>
        </w:tc>
        <w:tc>
          <w:tcPr>
            <w:tcW w:w="2549"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0.05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03"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黄曲霉毒素B1≤</w:t>
            </w:r>
          </w:p>
        </w:tc>
        <w:tc>
          <w:tcPr>
            <w:tcW w:w="1454"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ug/kg</w:t>
            </w:r>
          </w:p>
        </w:tc>
        <w:tc>
          <w:tcPr>
            <w:tcW w:w="2549" w:type="dxa"/>
            <w:tcBorders>
              <w:top w:val="nil"/>
              <w:left w:val="nil"/>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10</w:t>
            </w:r>
          </w:p>
        </w:tc>
      </w:tr>
    </w:tbl>
    <w:p>
      <w:pPr>
        <w:keepNext w:val="0"/>
        <w:keepLines w:val="0"/>
        <w:pageBreakBefore w:val="0"/>
        <w:widowControl w:val="0"/>
        <w:kinsoku/>
        <w:wordWrap/>
        <w:overflowPunct/>
        <w:topLinePunct w:val="0"/>
        <w:autoSpaceDE/>
        <w:autoSpaceDN/>
        <w:bidi w:val="0"/>
        <w:adjustRightInd/>
        <w:snapToGrid/>
        <w:spacing w:line="360" w:lineRule="auto"/>
        <w:ind w:firstLine="360"/>
        <w:jc w:val="left"/>
        <w:textAlignment w:val="auto"/>
        <w:rPr>
          <w:highlight w:val="none"/>
        </w:rPr>
      </w:pPr>
      <w:r>
        <w:rPr>
          <w:sz w:val="24"/>
          <w:highlight w:val="none"/>
        </w:rPr>
        <w:t>④油类执行标准：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highlight w:val="none"/>
        </w:rPr>
      </w:pPr>
      <w:r>
        <w:rPr>
          <w:rFonts w:hint="eastAsia"/>
          <w:sz w:val="24"/>
          <w:highlight w:val="none"/>
          <w:lang w:val="en-US" w:eastAsia="zh-CN"/>
        </w:rPr>
        <w:t>GB/T 40851-2021</w:t>
      </w:r>
      <w:r>
        <w:rPr>
          <w:sz w:val="24"/>
          <w:highlight w:val="none"/>
        </w:rPr>
        <w:t>《食用调和油》</w:t>
      </w:r>
      <w:r>
        <w:rPr>
          <w:rFonts w:hint="default"/>
          <w:sz w:val="24"/>
          <w:highlight w:val="none"/>
          <w:lang w:val="en-US"/>
        </w:rPr>
        <w:t>国家</w:t>
      </w:r>
      <w:r>
        <w:rPr>
          <w:sz w:val="24"/>
          <w:highlight w:val="none"/>
        </w:rPr>
        <w:t>标准</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98"/>
        <w:gridCol w:w="1869"/>
        <w:gridCol w:w="32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检验项目</w:t>
            </w:r>
          </w:p>
        </w:tc>
        <w:tc>
          <w:tcPr>
            <w:tcW w:w="186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单位</w:t>
            </w:r>
          </w:p>
        </w:tc>
        <w:tc>
          <w:tcPr>
            <w:tcW w:w="323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标准要求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highlight w:val="none"/>
                <w:lang w:eastAsia="zh-CN"/>
              </w:rPr>
            </w:pPr>
            <w:r>
              <w:rPr>
                <w:sz w:val="24"/>
                <w:highlight w:val="none"/>
              </w:rPr>
              <w:t>透明度</w:t>
            </w:r>
            <w:r>
              <w:rPr>
                <w:rFonts w:hint="eastAsia"/>
                <w:sz w:val="24"/>
                <w:highlight w:val="none"/>
                <w:lang w:eastAsia="zh-CN"/>
              </w:rPr>
              <w:t>（</w:t>
            </w:r>
            <w:r>
              <w:rPr>
                <w:rFonts w:hint="eastAsia"/>
                <w:sz w:val="24"/>
                <w:highlight w:val="none"/>
                <w:lang w:val="en-US" w:eastAsia="zh-CN"/>
              </w:rPr>
              <w:t>20℃</w:t>
            </w:r>
            <w:r>
              <w:rPr>
                <w:rFonts w:hint="eastAsia"/>
                <w:sz w:val="24"/>
                <w:highlight w:val="none"/>
                <w:lang w:eastAsia="zh-CN"/>
              </w:rPr>
              <w:t>）</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透明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气味、滋味</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highlight w:val="none"/>
                <w:lang w:val="en-US" w:eastAsia="zh-CN"/>
              </w:rPr>
            </w:pPr>
            <w:r>
              <w:rPr>
                <w:sz w:val="24"/>
                <w:highlight w:val="none"/>
              </w:rPr>
              <w:t>气味、</w:t>
            </w:r>
            <w:r>
              <w:rPr>
                <w:rFonts w:hint="eastAsia"/>
                <w:sz w:val="24"/>
                <w:highlight w:val="none"/>
                <w:lang w:val="en-US" w:eastAsia="zh-CN"/>
              </w:rPr>
              <w:t>滋味正常，无异味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色泽</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highlight w:val="none"/>
                <w:lang w:val="en-US" w:eastAsia="zh-CN"/>
              </w:rPr>
            </w:pPr>
            <w:r>
              <w:rPr>
                <w:rFonts w:hint="eastAsia"/>
                <w:sz w:val="24"/>
                <w:highlight w:val="none"/>
                <w:lang w:val="en-US" w:eastAsia="zh-CN"/>
              </w:rPr>
              <w:t>具有产品固有的颜色，如浅黄色至棕红色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水分及挥发物≤</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highlight w:val="none"/>
                <w:lang w:eastAsia="zh-CN"/>
              </w:rPr>
            </w:pPr>
            <w:r>
              <w:rPr>
                <w:sz w:val="24"/>
                <w:highlight w:val="none"/>
              </w:rPr>
              <w:t>0.1</w:t>
            </w:r>
            <w:r>
              <w:rPr>
                <w:rFonts w:hint="eastAsia"/>
                <w:sz w:val="24"/>
                <w:highlight w:val="none"/>
                <w:lang w:val="en-US" w:eastAsia="zh-CN"/>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不溶性杂质≤</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highlight w:val="none"/>
                <w:lang w:val="en-US" w:eastAsia="zh-CN"/>
              </w:rPr>
            </w:pPr>
            <w:r>
              <w:rPr>
                <w:sz w:val="24"/>
                <w:highlight w:val="none"/>
              </w:rPr>
              <w:t>0.</w:t>
            </w:r>
            <w:r>
              <w:rPr>
                <w:rFonts w:hint="eastAsia"/>
                <w:sz w:val="24"/>
                <w:highlight w:val="none"/>
                <w:lang w:val="en-US" w:eastAsia="zh-CN"/>
              </w:rPr>
              <w:t>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酸价≤</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rPr>
            </w:pPr>
            <w:r>
              <w:rPr>
                <w:rFonts w:hint="eastAsia" w:ascii="宋体" w:hAnsi="宋体" w:eastAsia="宋体" w:cs="宋体"/>
                <w:highlight w:val="none"/>
              </w:rPr>
              <w:t>（KOH）/（mg/g）</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highlight w:val="none"/>
                <w:lang w:val="en-US" w:eastAsia="zh-CN"/>
              </w:rPr>
            </w:pPr>
            <w:r>
              <w:rPr>
                <w:rFonts w:hint="eastAsia"/>
                <w:sz w:val="24"/>
                <w:highlight w:val="none"/>
                <w:lang w:val="en-US" w:eastAsia="zh-CN"/>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sz w:val="24"/>
                <w:highlight w:val="none"/>
              </w:rPr>
              <w:t>过氧化值≤</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g/100g</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highlight w:val="none"/>
                <w:lang w:val="en-US" w:eastAsia="zh-CN"/>
              </w:rPr>
            </w:pPr>
            <w:r>
              <w:rPr>
                <w:rFonts w:hint="eastAsia"/>
                <w:sz w:val="24"/>
                <w:highlight w:val="none"/>
                <w:lang w:val="en-US" w:eastAsia="zh-CN"/>
              </w:rPr>
              <w:t>0.20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0000"/>
                <w:highlight w:val="none"/>
              </w:rPr>
            </w:pPr>
            <w:r>
              <w:rPr>
                <w:rFonts w:hint="eastAsia"/>
                <w:sz w:val="24"/>
                <w:highlight w:val="none"/>
                <w:lang w:val="en-US" w:eastAsia="zh-CN"/>
              </w:rPr>
              <w:t>饱和脂肪酸</w:t>
            </w:r>
            <w:r>
              <w:rPr>
                <w:sz w:val="24"/>
                <w:highlight w:val="none"/>
              </w:rPr>
              <w:t>≤</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highlight w:val="none"/>
              </w:rPr>
            </w:pPr>
            <w:r>
              <w:rPr>
                <w:rFonts w:hint="eastAsia" w:ascii="宋体" w:hAnsi="宋体" w:eastAsia="宋体" w:cs="宋体"/>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color w:val="auto"/>
                <w:highlight w:val="none"/>
                <w:lang w:val="en-US" w:eastAsia="zh-CN"/>
              </w:rPr>
            </w:pPr>
            <w:r>
              <w:rPr>
                <w:rFonts w:hint="eastAsia"/>
                <w:color w:val="auto"/>
                <w:sz w:val="24"/>
                <w:highlight w:val="none"/>
                <w:lang w:val="en-US" w:eastAsia="zh-CN"/>
              </w:rPr>
              <w:t>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9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0000"/>
                <w:highlight w:val="none"/>
              </w:rPr>
            </w:pPr>
            <w:r>
              <w:rPr>
                <w:rFonts w:hint="eastAsia"/>
                <w:sz w:val="24"/>
                <w:highlight w:val="none"/>
                <w:lang w:val="en-US" w:eastAsia="zh-CN"/>
              </w:rPr>
              <w:t>反式脂肪酸</w:t>
            </w:r>
            <w:r>
              <w:rPr>
                <w:sz w:val="24"/>
                <w:highlight w:val="none"/>
              </w:rPr>
              <w:t>≤</w:t>
            </w:r>
          </w:p>
        </w:tc>
        <w:tc>
          <w:tcPr>
            <w:tcW w:w="18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highlight w:val="none"/>
              </w:rPr>
            </w:pPr>
            <w:r>
              <w:rPr>
                <w:rFonts w:hint="eastAsia" w:ascii="宋体" w:hAnsi="宋体" w:eastAsia="宋体" w:cs="宋体"/>
                <w:sz w:val="24"/>
                <w:highlight w:val="none"/>
              </w:rPr>
              <w:t>%</w:t>
            </w:r>
          </w:p>
        </w:tc>
        <w:tc>
          <w:tcPr>
            <w:tcW w:w="3238"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color w:val="auto"/>
                <w:highlight w:val="none"/>
                <w:lang w:val="en-US" w:eastAsia="zh-CN"/>
              </w:rPr>
            </w:pPr>
            <w:r>
              <w:rPr>
                <w:rFonts w:hint="eastAsia"/>
                <w:color w:val="auto"/>
                <w:sz w:val="24"/>
                <w:highlight w:val="none"/>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r>
        <w:rPr>
          <w:color w:val="auto"/>
          <w:sz w:val="24"/>
        </w:rPr>
        <w:t>GB</w:t>
      </w:r>
      <w:r>
        <w:rPr>
          <w:rFonts w:hint="eastAsia"/>
          <w:color w:val="auto"/>
          <w:sz w:val="24"/>
          <w:lang w:val="en-US" w:eastAsia="zh-CN"/>
        </w:rPr>
        <w:t>/T</w:t>
      </w:r>
      <w:r>
        <w:rPr>
          <w:color w:val="auto"/>
          <w:sz w:val="24"/>
        </w:rPr>
        <w:t>1534-20</w:t>
      </w:r>
      <w:r>
        <w:rPr>
          <w:rFonts w:hint="eastAsia"/>
          <w:color w:val="auto"/>
          <w:sz w:val="24"/>
          <w:lang w:val="en-US" w:eastAsia="zh-CN"/>
        </w:rPr>
        <w:t>17</w:t>
      </w:r>
      <w:r>
        <w:rPr>
          <w:color w:val="auto"/>
          <w:sz w:val="24"/>
        </w:rPr>
        <w:t>《花生油》国家标准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266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检验项目</w:t>
            </w:r>
          </w:p>
        </w:tc>
        <w:tc>
          <w:tcPr>
            <w:tcW w:w="54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一级</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色泽(罗维朋比色槽25.4mm) ≤</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黄15；红1.5</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黄25；红4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气味，滋味</w:t>
            </w:r>
          </w:p>
        </w:tc>
        <w:tc>
          <w:tcPr>
            <w:tcW w:w="54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具有花生油固有的气味和滋味，无异味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透明度</w:t>
            </w:r>
          </w:p>
        </w:tc>
        <w:tc>
          <w:tcPr>
            <w:tcW w:w="54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澄清、透明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酸</w:t>
            </w:r>
            <w:r>
              <w:rPr>
                <w:rFonts w:hint="eastAsia"/>
                <w:sz w:val="24"/>
                <w:lang w:val="en-US" w:eastAsia="zh-CN"/>
              </w:rPr>
              <w:t>价</w:t>
            </w:r>
            <w:r>
              <w:rPr>
                <w:sz w:val="24"/>
              </w:rPr>
              <w:t>（KOH）/（mg/g）≤</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1.0</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水分及挥发物/(%)≤</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0.10</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不溶性杂质(%)≤</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0.05</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加热试验(280℃)</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无析出物，罗维朋比色；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黄色值不变，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红色值增加小于0.4</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微量析出物，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罗维朋比色；</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黄色值不变，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红色值增加小于4.0，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蓝色值增加小于0.5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溶剂残留量/(mg/kg)</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不得检出</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过氧化值/(m mol/kg) ≤</w:t>
            </w:r>
          </w:p>
        </w:tc>
        <w:tc>
          <w:tcPr>
            <w:tcW w:w="26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6.0</w:t>
            </w:r>
          </w:p>
        </w:tc>
        <w:tc>
          <w:tcPr>
            <w:tcW w:w="2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sz w:val="24"/>
              </w:rPr>
              <w:t>7.5</w:t>
            </w:r>
          </w:p>
        </w:tc>
      </w:tr>
    </w:tbl>
    <w:p>
      <w:pPr>
        <w:keepNext w:val="0"/>
        <w:keepLines w:val="0"/>
        <w:pageBreakBefore w:val="0"/>
        <w:widowControl w:val="0"/>
        <w:kinsoku/>
        <w:wordWrap/>
        <w:overflowPunct/>
        <w:topLinePunct w:val="0"/>
        <w:autoSpaceDE/>
        <w:autoSpaceDN/>
        <w:bidi w:val="0"/>
        <w:adjustRightInd/>
        <w:snapToGrid/>
        <w:spacing w:line="360" w:lineRule="auto"/>
        <w:ind w:firstLine="360"/>
        <w:jc w:val="left"/>
        <w:textAlignment w:val="auto"/>
      </w:pPr>
      <w:r>
        <w:rPr>
          <w:sz w:val="24"/>
        </w:rPr>
        <w:t>⑤油类质量要求：</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A.食用油品种必须色泽好，透明度高，无浑浊，无沉淀和悬浮物，粘度小，无分层现象，气味正常，无酸臭异味。</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B.油要严格执行国家相关质量标准及卫生安全标准，色泽、气味、霉变、真菌毒素、重金属污染物、农药等严格控制在国家标准范围内（原粮及成品粮)色泽、气味必须正常。霉变粒不得超过2%。真菌毒素：黄曲霉毒素B1（5ug/kg-20ug/kg）脱氧雪腐镰刀菌烯醇（≤1000ug/kg）、玉米赤霉烯酮（≤60ug/kg）、赭曲霉毒素A（≤5ug/kg）。重金属污染物：铅（≤0.2mg/kg）、镉（0.1mg/kg-0.2mg/kg）、汞（0.02mg/kg）、无机砷（0.1mg/kg-0.2mg/kg）。农药：对磷化物、马拉硫磷等140余种农药规定了最大残留限量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人高价位植物油中进行销售，牟取暴利，一经查处，中标人将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C.面粉：必须为非转基因食材；必须符合卫生要求，不得有腐烂、变质、霉变、生虫、污秽不结、混有异物或者其他感官性状异常，并可能对人体健康有害的物质；要提供</w:t>
      </w:r>
      <w:r>
        <w:rPr>
          <w:rFonts w:hint="eastAsia"/>
          <w:sz w:val="24"/>
          <w:lang w:val="en-US" w:eastAsia="zh-CN"/>
        </w:rPr>
        <w:t>SC编号证书</w:t>
      </w:r>
      <w:r>
        <w:rPr>
          <w:sz w:val="24"/>
        </w:rPr>
        <w:t>、相关部门发出的食材检验合格证书等材料，包装箱完整，同时包装箱要印有注册商标、伪劣假冒、无证等不合格食材，生产厂家名称、地址、出厂日期、食材合格证、保质期限、食材成份、厂家电话号码等内容。中标人在供应过程中，如果发生出现质量问题或造成食物中毒，经查实后确属中标人责任，中标人应承担全部责任的，主要包括食物中毒人员医疗费、误工费、事故处理费等，情节严重的，追究相关当事人的刑事责任。</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2"/>
      </w:pPr>
      <w:r>
        <w:rPr>
          <w:b/>
          <w:sz w:val="24"/>
          <w:u w:val="single"/>
        </w:rPr>
        <w:t>5.干货及腊味：</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keepNext w:val="0"/>
        <w:keepLines w:val="0"/>
        <w:pageBreakBefore w:val="0"/>
        <w:widowControl w:val="0"/>
        <w:kinsoku/>
        <w:wordWrap/>
        <w:overflowPunct/>
        <w:topLinePunct w:val="0"/>
        <w:autoSpaceDE/>
        <w:autoSpaceDN/>
        <w:bidi w:val="0"/>
        <w:adjustRightInd/>
        <w:snapToGrid/>
        <w:spacing w:line="360" w:lineRule="auto"/>
        <w:ind w:firstLine="373"/>
        <w:jc w:val="both"/>
        <w:textAlignment w:val="auto"/>
        <w:outlineLvl w:val="2"/>
      </w:pPr>
      <w:r>
        <w:rPr>
          <w:b/>
          <w:sz w:val="24"/>
        </w:rPr>
        <w:t>6.相关品种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⑴粮油面粉类</w:t>
      </w:r>
    </w:p>
    <w:tbl>
      <w:tblPr>
        <w:tblStyle w:val="1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6"/>
        <w:gridCol w:w="2043"/>
        <w:gridCol w:w="946"/>
        <w:gridCol w:w="1772"/>
        <w:gridCol w:w="1096"/>
        <w:gridCol w:w="16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2043"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bCs/>
                <w:sz w:val="24"/>
              </w:rPr>
              <w:t>名称</w:t>
            </w:r>
          </w:p>
        </w:tc>
        <w:tc>
          <w:tcPr>
            <w:tcW w:w="946"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772"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1096"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622"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w:t>
            </w:r>
          </w:p>
        </w:tc>
        <w:tc>
          <w:tcPr>
            <w:tcW w:w="204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优质杂优米</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调和油</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w:t>
            </w:r>
          </w:p>
        </w:tc>
        <w:tc>
          <w:tcPr>
            <w:tcW w:w="162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黄油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w:t>
            </w:r>
          </w:p>
        </w:tc>
        <w:tc>
          <w:tcPr>
            <w:tcW w:w="204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粳米</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花生油</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w:t>
            </w:r>
          </w:p>
        </w:tc>
        <w:tc>
          <w:tcPr>
            <w:tcW w:w="162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猪油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w:t>
            </w:r>
          </w:p>
        </w:tc>
        <w:tc>
          <w:tcPr>
            <w:tcW w:w="204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生粉</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食粉</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9.</w:t>
            </w:r>
          </w:p>
        </w:tc>
        <w:tc>
          <w:tcPr>
            <w:tcW w:w="162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马蹄粉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10.</w:t>
            </w:r>
          </w:p>
        </w:tc>
        <w:tc>
          <w:tcPr>
            <w:tcW w:w="2043"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泡打粉</w:t>
            </w:r>
          </w:p>
        </w:tc>
        <w:tc>
          <w:tcPr>
            <w:tcW w:w="94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11.</w:t>
            </w:r>
          </w:p>
        </w:tc>
        <w:tc>
          <w:tcPr>
            <w:tcW w:w="177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粟粉</w:t>
            </w:r>
          </w:p>
        </w:tc>
        <w:tc>
          <w:tcPr>
            <w:tcW w:w="109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w:t>
            </w:r>
          </w:p>
        </w:tc>
        <w:tc>
          <w:tcPr>
            <w:tcW w:w="1622"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5" w:type="dxa"/>
            <w:gridSpan w:val="6"/>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⑵干货、腊味类: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998"/>
        <w:gridCol w:w="886"/>
        <w:gridCol w:w="1742"/>
        <w:gridCol w:w="886"/>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6"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998"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886"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742"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886"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877"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大花生米</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黑木耳</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绿豆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胡椒粉</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干海带</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支竹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陈皮</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干腐皮</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9.</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10.</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腊肠</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11.</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炸面筋</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12.</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白腊肉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13.</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红腰豆</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14.</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紫菜</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15.</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蜜枣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16.</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梅菜心</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17.</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霸王花</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18.</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虾皮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19.</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靓菜干</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20.</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干淮山</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21.</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党参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22.</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jc w:val="center"/>
              <w:textAlignment w:val="auto"/>
            </w:pPr>
            <w:r>
              <w:rPr>
                <w:sz w:val="24"/>
              </w:rPr>
              <w:t>玉竹</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23.</w:t>
            </w:r>
          </w:p>
        </w:tc>
        <w:tc>
          <w:tcPr>
            <w:tcW w:w="17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眉豆</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24.</w:t>
            </w:r>
          </w:p>
        </w:tc>
        <w:tc>
          <w:tcPr>
            <w:tcW w:w="18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sz w:val="24"/>
              </w:rPr>
              <w:t>黄豆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b/>
          <w:sz w:val="24"/>
        </w:rPr>
        <w:t>⑶调味品、配料类:</w:t>
      </w:r>
    </w:p>
    <w:tbl>
      <w:tblPr>
        <w:tblStyle w:val="1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1439"/>
        <w:gridCol w:w="915"/>
        <w:gridCol w:w="1964"/>
        <w:gridCol w:w="1169"/>
        <w:gridCol w:w="19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b/>
                <w:sz w:val="24"/>
              </w:rPr>
              <w:t>序号</w:t>
            </w:r>
          </w:p>
        </w:tc>
        <w:tc>
          <w:tcPr>
            <w:tcW w:w="1439"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91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964"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c>
          <w:tcPr>
            <w:tcW w:w="1169"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序号</w:t>
            </w:r>
          </w:p>
        </w:tc>
        <w:tc>
          <w:tcPr>
            <w:tcW w:w="1979"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sz w:val="24"/>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生抽</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柱候酱</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碘盐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老抽</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沙糖</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味精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卤水汁</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腐乳</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9.</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鼓油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10.</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黄豆酱</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11.</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醋</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12.</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耗油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13.</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海鲜酱</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14.</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排骨酱</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15.</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盐焗鸡料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16.</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叉烧酱</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17.</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黄姜粉</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18.</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麦芽糖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19.</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鸡鲜粉</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20.</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黑椒汁</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21.</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鸡汁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22.</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沙司</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23.</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青芥辣</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24.</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麻油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25.</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辣椒油</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26.</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茄汁</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27.</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桂花汁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28.</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红糖珠油</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29.</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花梅酱</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30.</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31.</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花生酱</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32.</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醋精</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33.</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糯米粉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34.</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肉粉</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35.</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食粉</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36.</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甜面酱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37.</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枧水</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38.</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豆瓣酱</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39.</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粘米粉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40.</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花生</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41.</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蜜糖</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42.</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鱼露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43.</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阳醇</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44.</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十三香</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45.</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火锅料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46.</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桂林酱</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47.</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散酒</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48.</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料酒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49.</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辣椒粉</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50.</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胡椒粉</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51.</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五香炸粉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52.</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面包糠</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53.</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花生粉</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54.</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烧烤汁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55.</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柠汁</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56.</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豆鼓鲮鱼</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57.</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鲜炸鱼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58.</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炼奶</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59.</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保鲜膜</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60.</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蒜蓉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61.</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姜鼓</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62.</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豆鼓</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63.</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伊面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64.</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米粉</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65.</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赤小豆</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66.</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咖喱粉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67.</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酸甜五柳菜</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68.</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橄榄菜</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69.</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椰浆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70.</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笋干</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71.</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花球面</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72.</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榨菜头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73.</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花椒</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74.</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榄角</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75.</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生粉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76.</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萝卜脯</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77.</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八角</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78.</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头菜丝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79.</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蛋糕纸</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80.</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一滴香</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81.</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洗洁精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82.</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肠粉</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83.</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排粉</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84.</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碗装面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85.</w:t>
            </w:r>
          </w:p>
        </w:tc>
        <w:tc>
          <w:tcPr>
            <w:tcW w:w="143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冲菜</w:t>
            </w:r>
          </w:p>
        </w:tc>
        <w:tc>
          <w:tcPr>
            <w:tcW w:w="91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86.</w:t>
            </w:r>
          </w:p>
        </w:tc>
        <w:tc>
          <w:tcPr>
            <w:tcW w:w="1964"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咸梅菜</w:t>
            </w:r>
          </w:p>
        </w:tc>
        <w:tc>
          <w:tcPr>
            <w:tcW w:w="116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108"/>
              <w:jc w:val="center"/>
              <w:textAlignment w:val="auto"/>
            </w:pPr>
            <w:r>
              <w:rPr>
                <w:sz w:val="24"/>
              </w:rPr>
              <w:t>87.</w:t>
            </w:r>
          </w:p>
        </w:tc>
        <w:tc>
          <w:tcPr>
            <w:tcW w:w="197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全蛋面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6"/>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z w:val="24"/>
              </w:rPr>
              <w:t>表格未有列明的货物，按采购人具体要求货物供货</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pPr>
      <w:r>
        <w:rPr>
          <w:b/>
          <w:sz w:val="24"/>
        </w:rPr>
        <w:t>7.牛奶：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（1）质量基本标准要求符合国家相关行业标准，营养丰富、绿色安全、无异味、无霉烂变质，从加工、包装、运输、贮存到销售全部符合国家规定标准。食用方便，保质期长，包装完整、无破损。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rPr>
      </w:pPr>
      <w:r>
        <w:rPr>
          <w:color w:val="auto"/>
          <w:sz w:val="24"/>
        </w:rPr>
        <w:t>（2）鲜牛奶的质量及其标识应执行国家标准GB19645-2010《巴氏杀菌乳》、标准GB25190-2010《灭菌乳》和GB7718-2011《预包装食品标签通则》，采购符合GB19301-2010《生乳》。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color w:val="auto"/>
          <w:sz w:val="24"/>
        </w:rPr>
        <w:t>（3）牛奶需符合GB/T18706-2008《液体食</w:t>
      </w:r>
      <w:r>
        <w:rPr>
          <w:sz w:val="24"/>
        </w:rPr>
        <w:t>品保鲜包装用纸基复合材料》，GB/T27590</w:t>
      </w:r>
      <w:r>
        <w:rPr>
          <w:rFonts w:hint="eastAsia"/>
          <w:sz w:val="24"/>
          <w:lang w:val="en-US" w:eastAsia="zh-CN"/>
        </w:rPr>
        <w:t>-2022</w:t>
      </w:r>
      <w:r>
        <w:rPr>
          <w:sz w:val="24"/>
        </w:rPr>
        <w:t>《纸杯》标准；每盒奶的单件包装净含量负偏差必须符合国家规定。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（4）供应有保质期限的牛奶，且剩余保存期时长不得少于原有保质期时长的三分之二。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pPr>
      <w:r>
        <w:rPr>
          <w:b/>
          <w:sz w:val="24"/>
        </w:rPr>
        <w:t>8.水果：</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必须符合国家有关标准，保证新鲜、无异味、无霉烂变质；必须保证食用安全，绝无农药等有害物质留存；在交付采购人前必须经过前期处理，合格率达到95%</w:t>
      </w:r>
      <w:r>
        <w:rPr>
          <w:rFonts w:hint="eastAsia"/>
          <w:sz w:val="24"/>
          <w:lang w:val="en-US" w:eastAsia="zh-CN"/>
        </w:rPr>
        <w:t>或</w:t>
      </w:r>
      <w:r>
        <w:rPr>
          <w:sz w:val="24"/>
        </w:rPr>
        <w:t>以上；采购人采购的水果种类以苹果、梨子、香蕉、橙子、大蕉时令水果为主，以下列举各类水果的收货标准：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（1）苹果：具有本品种特有的外形，大小均匀，果面光滑有光泽，具有本品种应有的自然色泽；无斑点或极少果锈，不起皱，无裂口，无压痕及其他机械损伤和冻伤黑班；果身重，硬刻朗。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（2）梨子：果形端正，大小均匀，无畸形果，带果柄；果面新鲜洁净、无刺划伤，无压痕，无病虽害；重身结实，味道爽甜。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（3）香蕉：果实丰满，果形端正，梳炳完整，单果均匀，色泽自然、光亮；皮包青黄，果面光滑；无病黑斑，无虫疤、无霉菌，无创伤，果肉稍硬，果皮可剥或易剥。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（4）橙子：大小均匀，皮光滑并有光泽，手感重，无机械损伤。难剥离，果汁多，味可口无萎焉。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（5）柑桔：果实大近似球形，无异状突起瘤，无病虫害所呈现的绿班，黑班，无霉烂，无机械损伤，果面清新洁净，大小均匀，果实无萎焉，色泽自然。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（6）大蕉：果实丰满，果形端正，梳炳完整，不缺只口，单果均匀，色泽自然，光亮；皮色青黄，果面光滑，无病黑斑，无虫疤、无霉菌，无创伤，果肉稍硬，果皮可剥或易剥。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pPr>
      <w:r>
        <w:rPr>
          <w:b/>
          <w:sz w:val="24"/>
        </w:rPr>
        <w:t>（四）产品配送要求</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1.送货方式：每次根据采购人的电话、电子邮件、信息或互联网应用程序上通知订购品种、数量后，中标人在接到采购人订货通知后在1小时内作出响应并按</w:t>
      </w:r>
      <w:r>
        <w:rPr>
          <w:rFonts w:hint="eastAsia"/>
          <w:sz w:val="24"/>
          <w:lang w:val="en-US" w:eastAsia="zh-CN"/>
        </w:rPr>
        <w:t>采购人</w:t>
      </w:r>
      <w:r>
        <w:rPr>
          <w:sz w:val="24"/>
        </w:rPr>
        <w:t>约定的时间免费足额、运送物品到指定地点，中标人随货提供注明货物名称、单位、数量、售价及总金额的商品送货清单，作为采购人入库验收之凭证。</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互联网应用程序由中标人提供，该应用程序要具备以下功能：</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1）系统要有两类账号，分别为管理员账号和操作人员账号。管理员账号一个，操作人员账号若干。管理员账号主要用来对若干操作人员账号的权限进行管理，包括操作人员账号可以下单的食材的类型、价格和种类。而且管理员账号还可以对各个不同的饭堂分开进行打印相关配送食材单据以及全部饭堂的总体汇总单据。打印出来的单据要盖有供应商电子印章。操作人员账号用来给各个饭堂日常下单要求配送公司供应食材,选择食材（含对应的合同价及图片）、数量、送货日期下订单，饭堂在收货后对订单品种、数量进行确认，然后配送公司再确认所配送食材的品种、数量和总金额，在双方达成一致时形成一次完整的下单和收货的流程。然后系统才可以打印当天的配送单据，单据上要有配送公司的电子印章，输入每个饭堂的送货地址和操作人员的姓名、联系方式。操作人员账号可以打印该账号对应的饭堂的月末食材配送单据（有配送公司电子印章）和年末食材配送单据（有配送公司电子印章）。</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2）应用程序里食材的价格必须每月进行更新，广州市菜篮子和米袋子的价格（定价日期与市场超市询价日期一致）、市场超市询价食材（菜篮子、米袋子以外）以每月1号前四个工作日内询价得出。并在每个月的最后一天录入广州市菜篮子和米袋子的价格以及对应的配送合同价格和市场、超市询价的食材（菜篮子、米袋子以外）的市场价格和对应的合同价格以供不同账户在次月进行选择下单。应用程序具备食材订购、分拣、配送智能管理系统，包括销售、进货、库存等基础应用。</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3）应用程序需要每周更新适合时节的菜式供各个饭堂选择。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120"/>
        <w:jc w:val="left"/>
        <w:textAlignment w:val="auto"/>
        <w:outlineLvl w:val="2"/>
        <w:rPr>
          <w:sz w:val="24"/>
        </w:rPr>
      </w:pPr>
      <w:r>
        <w:rPr>
          <w:sz w:val="24"/>
        </w:rPr>
        <w:t>交货地点：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2880"/>
        <w:gridCol w:w="3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b/>
                <w:color w:val="000000"/>
                <w:sz w:val="24"/>
              </w:rPr>
            </w:pPr>
            <w:r>
              <w:rPr>
                <w:rFonts w:hint="eastAsia" w:ascii="宋体" w:hAnsi="宋体"/>
                <w:b/>
                <w:color w:val="000000"/>
                <w:sz w:val="24"/>
              </w:rPr>
              <w:t>序号</w:t>
            </w:r>
          </w:p>
        </w:tc>
        <w:tc>
          <w:tcPr>
            <w:tcW w:w="2880" w:type="dxa"/>
            <w:noWrap w:val="0"/>
            <w:vAlign w:val="top"/>
          </w:tcPr>
          <w:p>
            <w:pPr>
              <w:tabs>
                <w:tab w:val="left" w:pos="360"/>
              </w:tabs>
              <w:snapToGrid w:val="0"/>
              <w:jc w:val="center"/>
              <w:rPr>
                <w:rFonts w:ascii="宋体" w:hAnsi="宋体"/>
                <w:b/>
                <w:color w:val="000000"/>
                <w:sz w:val="24"/>
              </w:rPr>
            </w:pPr>
            <w:r>
              <w:rPr>
                <w:rFonts w:hint="eastAsia" w:ascii="宋体" w:hAnsi="宋体"/>
                <w:b/>
                <w:color w:val="000000"/>
                <w:sz w:val="24"/>
              </w:rPr>
              <w:t>饭堂名称</w:t>
            </w:r>
          </w:p>
        </w:tc>
        <w:tc>
          <w:tcPr>
            <w:tcW w:w="3275" w:type="dxa"/>
            <w:noWrap w:val="0"/>
            <w:vAlign w:val="top"/>
          </w:tcPr>
          <w:p>
            <w:pPr>
              <w:tabs>
                <w:tab w:val="left" w:pos="360"/>
              </w:tabs>
              <w:snapToGrid w:val="0"/>
              <w:jc w:val="center"/>
              <w:rPr>
                <w:rFonts w:ascii="宋体" w:hAnsi="宋体"/>
                <w:b/>
                <w:color w:val="000000"/>
                <w:sz w:val="24"/>
              </w:rPr>
            </w:pPr>
            <w:r>
              <w:rPr>
                <w:rFonts w:hint="eastAsia" w:ascii="宋体" w:hAnsi="宋体"/>
                <w:b/>
                <w:color w:val="000000"/>
                <w:sz w:val="24"/>
              </w:rPr>
              <w:t>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1</w:t>
            </w:r>
          </w:p>
        </w:tc>
        <w:tc>
          <w:tcPr>
            <w:tcW w:w="2880"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分局大院食堂</w:t>
            </w:r>
          </w:p>
        </w:tc>
        <w:tc>
          <w:tcPr>
            <w:tcW w:w="32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芳村大道东198号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2</w:t>
            </w:r>
          </w:p>
        </w:tc>
        <w:tc>
          <w:tcPr>
            <w:tcW w:w="2880"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长寿路食堂</w:t>
            </w:r>
          </w:p>
        </w:tc>
        <w:tc>
          <w:tcPr>
            <w:tcW w:w="32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长寿路300号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3</w:t>
            </w:r>
          </w:p>
        </w:tc>
        <w:tc>
          <w:tcPr>
            <w:tcW w:w="2880" w:type="dxa"/>
            <w:noWrap w:val="0"/>
            <w:vAlign w:val="top"/>
          </w:tcPr>
          <w:p>
            <w:pPr>
              <w:tabs>
                <w:tab w:val="left" w:pos="360"/>
              </w:tabs>
              <w:snapToGrid w:val="0"/>
              <w:jc w:val="center"/>
              <w:rPr>
                <w:rFonts w:hint="eastAsia" w:ascii="宋体" w:hAnsi="宋体" w:eastAsiaTheme="minorEastAsia"/>
                <w:color w:val="000000"/>
                <w:sz w:val="24"/>
                <w:lang w:eastAsia="zh-CN"/>
              </w:rPr>
            </w:pPr>
            <w:r>
              <w:rPr>
                <w:rFonts w:hint="eastAsia" w:ascii="宋体" w:hAnsi="宋体"/>
                <w:color w:val="000000"/>
                <w:sz w:val="24"/>
              </w:rPr>
              <w:t>蓬莱阁</w:t>
            </w:r>
            <w:r>
              <w:rPr>
                <w:rFonts w:hint="eastAsia" w:ascii="宋体" w:hAnsi="宋体"/>
                <w:color w:val="000000"/>
                <w:sz w:val="24"/>
                <w:lang w:eastAsia="zh-CN"/>
              </w:rPr>
              <w:t>食堂</w:t>
            </w:r>
          </w:p>
        </w:tc>
        <w:tc>
          <w:tcPr>
            <w:tcW w:w="32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蓬莱路16号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4</w:t>
            </w:r>
          </w:p>
        </w:tc>
        <w:tc>
          <w:tcPr>
            <w:tcW w:w="2880"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景晖苑食堂</w:t>
            </w:r>
          </w:p>
        </w:tc>
        <w:tc>
          <w:tcPr>
            <w:tcW w:w="32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景晖苑23号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5</w:t>
            </w:r>
          </w:p>
        </w:tc>
        <w:tc>
          <w:tcPr>
            <w:tcW w:w="2880"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训练基地食堂</w:t>
            </w:r>
          </w:p>
        </w:tc>
        <w:tc>
          <w:tcPr>
            <w:tcW w:w="3275" w:type="dxa"/>
            <w:noWrap w:val="0"/>
            <w:vAlign w:val="top"/>
          </w:tcPr>
          <w:p>
            <w:pPr>
              <w:tabs>
                <w:tab w:val="left" w:pos="360"/>
              </w:tabs>
              <w:snapToGrid w:val="0"/>
              <w:jc w:val="center"/>
              <w:rPr>
                <w:rFonts w:ascii="宋体" w:hAnsi="宋体"/>
                <w:color w:val="000000"/>
                <w:sz w:val="24"/>
              </w:rPr>
            </w:pPr>
            <w:r>
              <w:rPr>
                <w:rFonts w:hint="eastAsia" w:ascii="宋体" w:hAnsi="宋体"/>
                <w:color w:val="000000"/>
                <w:sz w:val="24"/>
              </w:rPr>
              <w:t>芳村大道西五芳街13号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iCs/>
                <w:sz w:val="24"/>
              </w:rPr>
            </w:pPr>
            <w:r>
              <w:rPr>
                <w:rFonts w:hint="eastAsia" w:ascii="宋体" w:hAnsi="宋体"/>
                <w:iCs/>
                <w:sz w:val="24"/>
              </w:rPr>
              <w:t>6</w:t>
            </w:r>
          </w:p>
        </w:tc>
        <w:tc>
          <w:tcPr>
            <w:tcW w:w="2880" w:type="dxa"/>
            <w:noWrap w:val="0"/>
            <w:vAlign w:val="top"/>
          </w:tcPr>
          <w:p>
            <w:pPr>
              <w:tabs>
                <w:tab w:val="left" w:pos="360"/>
              </w:tabs>
              <w:snapToGrid w:val="0"/>
              <w:jc w:val="center"/>
              <w:rPr>
                <w:rFonts w:ascii="宋体" w:hAnsi="宋体"/>
                <w:iCs/>
                <w:sz w:val="24"/>
              </w:rPr>
            </w:pPr>
            <w:r>
              <w:rPr>
                <w:rFonts w:hint="eastAsia" w:ascii="宋体" w:hAnsi="宋体"/>
                <w:iCs/>
                <w:sz w:val="24"/>
              </w:rPr>
              <w:t>看守所民警食堂</w:t>
            </w:r>
          </w:p>
        </w:tc>
        <w:tc>
          <w:tcPr>
            <w:tcW w:w="3275" w:type="dxa"/>
            <w:noWrap w:val="0"/>
            <w:vAlign w:val="top"/>
          </w:tcPr>
          <w:p>
            <w:pPr>
              <w:tabs>
                <w:tab w:val="left" w:pos="360"/>
              </w:tabs>
              <w:snapToGrid w:val="0"/>
              <w:jc w:val="center"/>
              <w:rPr>
                <w:rFonts w:ascii="宋体" w:hAnsi="宋体"/>
                <w:iCs/>
                <w:sz w:val="24"/>
              </w:rPr>
            </w:pPr>
            <w:r>
              <w:rPr>
                <w:rFonts w:hint="eastAsia" w:ascii="宋体" w:hAnsi="宋体"/>
                <w:iCs/>
                <w:sz w:val="24"/>
              </w:rPr>
              <w:t>白云区西洲北路185号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ascii="宋体" w:hAnsi="宋体"/>
                <w:iCs/>
                <w:sz w:val="24"/>
              </w:rPr>
            </w:pPr>
            <w:r>
              <w:rPr>
                <w:rFonts w:hint="eastAsia" w:ascii="宋体" w:hAnsi="宋体"/>
                <w:iCs/>
                <w:sz w:val="24"/>
              </w:rPr>
              <w:t>7</w:t>
            </w:r>
          </w:p>
        </w:tc>
        <w:tc>
          <w:tcPr>
            <w:tcW w:w="2880" w:type="dxa"/>
            <w:noWrap w:val="0"/>
            <w:vAlign w:val="top"/>
          </w:tcPr>
          <w:p>
            <w:pPr>
              <w:tabs>
                <w:tab w:val="left" w:pos="360"/>
              </w:tabs>
              <w:snapToGrid w:val="0"/>
              <w:jc w:val="center"/>
              <w:rPr>
                <w:rFonts w:ascii="宋体" w:hAnsi="宋体"/>
                <w:iCs/>
                <w:sz w:val="24"/>
              </w:rPr>
            </w:pPr>
            <w:r>
              <w:rPr>
                <w:rFonts w:hint="eastAsia" w:ascii="宋体" w:hAnsi="宋体"/>
                <w:iCs/>
                <w:sz w:val="24"/>
              </w:rPr>
              <w:t>中山七路办证中心食堂</w:t>
            </w:r>
          </w:p>
        </w:tc>
        <w:tc>
          <w:tcPr>
            <w:tcW w:w="3275" w:type="dxa"/>
            <w:noWrap w:val="0"/>
            <w:vAlign w:val="top"/>
          </w:tcPr>
          <w:p>
            <w:pPr>
              <w:tabs>
                <w:tab w:val="left" w:pos="360"/>
              </w:tabs>
              <w:snapToGrid w:val="0"/>
              <w:jc w:val="center"/>
              <w:rPr>
                <w:rFonts w:ascii="宋体" w:hAnsi="宋体"/>
                <w:iCs/>
                <w:sz w:val="24"/>
              </w:rPr>
            </w:pPr>
            <w:r>
              <w:rPr>
                <w:rFonts w:hint="eastAsia" w:ascii="宋体" w:hAnsi="宋体"/>
                <w:iCs/>
                <w:sz w:val="24"/>
              </w:rPr>
              <w:t>中山七路328号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eastAsia" w:ascii="宋体" w:hAnsi="宋体" w:eastAsiaTheme="minorEastAsia"/>
                <w:iCs/>
                <w:sz w:val="24"/>
                <w:lang w:val="en-US" w:eastAsia="zh-CN"/>
              </w:rPr>
            </w:pPr>
            <w:r>
              <w:rPr>
                <w:rFonts w:hint="eastAsia" w:ascii="宋体" w:hAnsi="宋体"/>
                <w:iCs/>
                <w:sz w:val="24"/>
                <w:lang w:val="en-US" w:eastAsia="zh-CN"/>
              </w:rPr>
              <w:t>8</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拘留所食堂</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龙溪中路东联路</w:t>
            </w:r>
            <w:r>
              <w:rPr>
                <w:rFonts w:hint="eastAsia" w:ascii="宋体" w:hAnsi="宋体"/>
                <w:iCs/>
                <w:sz w:val="24"/>
                <w:lang w:val="en-US" w:eastAsia="zh-CN"/>
              </w:rPr>
              <w:t>40-2号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eastAsia" w:ascii="宋体" w:hAnsi="宋体" w:eastAsiaTheme="minorEastAsia"/>
                <w:iCs/>
                <w:sz w:val="24"/>
                <w:lang w:val="en-US" w:eastAsia="zh-CN"/>
              </w:rPr>
            </w:pPr>
            <w:r>
              <w:rPr>
                <w:rFonts w:hint="eastAsia" w:ascii="宋体" w:hAnsi="宋体"/>
                <w:iCs/>
                <w:sz w:val="24"/>
                <w:lang w:val="en-US" w:eastAsia="zh-CN"/>
              </w:rPr>
              <w:t>9</w:t>
            </w:r>
          </w:p>
        </w:tc>
        <w:tc>
          <w:tcPr>
            <w:tcW w:w="2880"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治安大队</w:t>
            </w:r>
            <w:r>
              <w:rPr>
                <w:rFonts w:hint="eastAsia" w:ascii="宋体" w:hAnsi="宋体"/>
                <w:iCs/>
                <w:sz w:val="24"/>
                <w:lang w:val="en-US" w:eastAsia="zh-CN"/>
              </w:rPr>
              <w:t xml:space="preserve">食堂 </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东安苑</w:t>
            </w:r>
            <w:r>
              <w:rPr>
                <w:rFonts w:hint="eastAsia" w:ascii="宋体" w:hAnsi="宋体"/>
                <w:iCs/>
                <w:sz w:val="24"/>
                <w:lang w:val="en-US" w:eastAsia="zh-CN"/>
              </w:rPr>
              <w:t>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10</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石围塘所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岭海街</w:t>
            </w:r>
            <w:r>
              <w:rPr>
                <w:rFonts w:hint="eastAsia" w:ascii="宋体" w:hAnsi="宋体"/>
                <w:iCs/>
                <w:sz w:val="24"/>
                <w:lang w:val="en-US" w:eastAsia="zh-CN"/>
              </w:rPr>
              <w:t>28号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11</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花地所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中市外约新街</w:t>
            </w:r>
            <w:r>
              <w:rPr>
                <w:rFonts w:hint="eastAsia" w:ascii="宋体" w:hAnsi="宋体"/>
                <w:iCs/>
                <w:sz w:val="24"/>
                <w:lang w:val="en-US" w:eastAsia="zh-CN"/>
              </w:rPr>
              <w:t>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12</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冲口所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景兴大街</w:t>
            </w:r>
            <w:r>
              <w:rPr>
                <w:rFonts w:hint="eastAsia" w:ascii="宋体" w:hAnsi="宋体"/>
                <w:iCs/>
                <w:sz w:val="24"/>
                <w:lang w:val="en-US" w:eastAsia="zh-CN"/>
              </w:rPr>
              <w:t>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13</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白鹤洞所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景晖苑</w:t>
            </w:r>
            <w:r>
              <w:rPr>
                <w:rFonts w:hint="eastAsia" w:ascii="宋体" w:hAnsi="宋体"/>
                <w:iCs/>
                <w:sz w:val="24"/>
                <w:lang w:val="en-US" w:eastAsia="zh-CN"/>
              </w:rPr>
              <w:t>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14</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茶滘所</w:t>
            </w:r>
          </w:p>
        </w:tc>
        <w:tc>
          <w:tcPr>
            <w:tcW w:w="3275" w:type="dxa"/>
            <w:noWrap w:val="0"/>
            <w:vAlign w:val="top"/>
          </w:tcPr>
          <w:p>
            <w:pPr>
              <w:tabs>
                <w:tab w:val="left" w:pos="360"/>
              </w:tabs>
              <w:snapToGrid w:val="0"/>
              <w:jc w:val="center"/>
              <w:rPr>
                <w:rFonts w:hint="default" w:ascii="宋体" w:hAnsi="宋体"/>
                <w:iCs/>
                <w:sz w:val="24"/>
                <w:lang w:val="en-US"/>
              </w:rPr>
            </w:pPr>
            <w:r>
              <w:rPr>
                <w:rFonts w:hint="eastAsia" w:ascii="宋体" w:hAnsi="宋体"/>
                <w:iCs/>
                <w:sz w:val="24"/>
                <w:lang w:eastAsia="zh-CN"/>
              </w:rPr>
              <w:t>茶滘路</w:t>
            </w:r>
            <w:r>
              <w:rPr>
                <w:rFonts w:hint="eastAsia" w:ascii="宋体" w:hAnsi="宋体"/>
                <w:iCs/>
                <w:sz w:val="24"/>
                <w:lang w:val="en-US" w:eastAsia="zh-CN"/>
              </w:rPr>
              <w:t>23号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15</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东漖所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浣南中街</w:t>
            </w:r>
            <w:r>
              <w:rPr>
                <w:rFonts w:hint="eastAsia" w:ascii="宋体" w:hAnsi="宋体"/>
                <w:iCs/>
                <w:sz w:val="24"/>
                <w:lang w:val="en-US" w:eastAsia="zh-CN"/>
              </w:rPr>
              <w:t>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16</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中南所</w:t>
            </w:r>
          </w:p>
        </w:tc>
        <w:tc>
          <w:tcPr>
            <w:tcW w:w="3275"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花博大道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17</w:t>
            </w:r>
          </w:p>
        </w:tc>
        <w:tc>
          <w:tcPr>
            <w:tcW w:w="2880"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海龙所</w:t>
            </w:r>
          </w:p>
        </w:tc>
        <w:tc>
          <w:tcPr>
            <w:tcW w:w="3275" w:type="dxa"/>
            <w:noWrap w:val="0"/>
            <w:vAlign w:val="top"/>
          </w:tcPr>
          <w:p>
            <w:pPr>
              <w:tabs>
                <w:tab w:val="left" w:pos="360"/>
              </w:tabs>
              <w:snapToGrid w:val="0"/>
              <w:jc w:val="center"/>
              <w:rPr>
                <w:rFonts w:hint="eastAsia" w:ascii="宋体" w:hAnsi="宋体"/>
                <w:iCs/>
                <w:sz w:val="24"/>
              </w:rPr>
            </w:pPr>
            <w:r>
              <w:rPr>
                <w:rFonts w:hint="eastAsia" w:ascii="宋体" w:hAnsi="宋体"/>
                <w:iCs/>
                <w:sz w:val="24"/>
                <w:lang w:eastAsia="zh-CN"/>
              </w:rPr>
              <w:t>海龙东联路</w:t>
            </w:r>
            <w:r>
              <w:rPr>
                <w:rFonts w:hint="eastAsia" w:ascii="宋体" w:hAnsi="宋体"/>
                <w:iCs/>
                <w:sz w:val="24"/>
                <w:lang w:val="en-US" w:eastAsia="zh-CN"/>
              </w:rPr>
              <w:t>40-1号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18</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东沙所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环翠北路</w:t>
            </w:r>
            <w:r>
              <w:rPr>
                <w:rFonts w:hint="eastAsia" w:ascii="宋体" w:hAnsi="宋体"/>
                <w:iCs/>
                <w:sz w:val="24"/>
                <w:lang w:val="en-US" w:eastAsia="zh-CN"/>
              </w:rPr>
              <w:t>38-1号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19</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逢源所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华贵路华贵路横街</w:t>
            </w:r>
            <w:r>
              <w:rPr>
                <w:rFonts w:hint="eastAsia" w:ascii="宋体" w:hAnsi="宋体"/>
                <w:iCs/>
                <w:sz w:val="24"/>
                <w:lang w:val="en-US" w:eastAsia="zh-CN"/>
              </w:rPr>
              <w:t>29号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20</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岭南所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康王南路</w:t>
            </w:r>
            <w:r>
              <w:rPr>
                <w:rFonts w:hint="eastAsia" w:ascii="宋体" w:hAnsi="宋体"/>
                <w:iCs/>
                <w:sz w:val="24"/>
                <w:lang w:val="en-US" w:eastAsia="zh-CN"/>
              </w:rPr>
              <w:t>13号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21</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昌华所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粤南大街</w:t>
            </w:r>
            <w:r>
              <w:rPr>
                <w:rFonts w:hint="eastAsia" w:ascii="宋体" w:hAnsi="宋体"/>
                <w:iCs/>
                <w:sz w:val="24"/>
                <w:lang w:val="en-US" w:eastAsia="zh-CN"/>
              </w:rPr>
              <w:t>15号之一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22</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西村所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西湾路</w:t>
            </w:r>
            <w:r>
              <w:rPr>
                <w:rFonts w:hint="eastAsia" w:ascii="宋体" w:hAnsi="宋体"/>
                <w:iCs/>
                <w:sz w:val="24"/>
                <w:lang w:val="en-US" w:eastAsia="zh-CN"/>
              </w:rPr>
              <w:t>168号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23</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南源所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富力路</w:t>
            </w:r>
            <w:r>
              <w:rPr>
                <w:rFonts w:hint="eastAsia" w:ascii="宋体" w:hAnsi="宋体"/>
                <w:iCs/>
                <w:sz w:val="24"/>
                <w:lang w:val="en-US" w:eastAsia="zh-CN"/>
              </w:rPr>
              <w:t>10号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24</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华林所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十八甫北路</w:t>
            </w:r>
            <w:r>
              <w:rPr>
                <w:rFonts w:hint="eastAsia" w:ascii="宋体" w:hAnsi="宋体"/>
                <w:iCs/>
                <w:sz w:val="24"/>
                <w:lang w:val="en-US" w:eastAsia="zh-CN"/>
              </w:rPr>
              <w:t>17号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25</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龙津所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中山七路华福里</w:t>
            </w:r>
            <w:r>
              <w:rPr>
                <w:rFonts w:hint="eastAsia" w:ascii="宋体" w:hAnsi="宋体"/>
                <w:iCs/>
                <w:sz w:val="24"/>
                <w:lang w:val="en-US" w:eastAsia="zh-CN"/>
              </w:rPr>
              <w:t>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26</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沙面所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沙面大街</w:t>
            </w:r>
            <w:r>
              <w:rPr>
                <w:rFonts w:hint="eastAsia" w:ascii="宋体" w:hAnsi="宋体"/>
                <w:iCs/>
                <w:sz w:val="24"/>
                <w:lang w:val="en-US" w:eastAsia="zh-CN"/>
              </w:rPr>
              <w:t>20号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27</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金花所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西华路金花直街</w:t>
            </w:r>
            <w:r>
              <w:rPr>
                <w:rFonts w:hint="eastAsia" w:ascii="宋体" w:hAnsi="宋体"/>
                <w:iCs/>
                <w:sz w:val="24"/>
                <w:lang w:val="en-US" w:eastAsia="zh-CN"/>
              </w:rPr>
              <w:t>13号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28</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站前所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站前路站前一街</w:t>
            </w:r>
            <w:r>
              <w:rPr>
                <w:rFonts w:hint="eastAsia" w:ascii="宋体" w:hAnsi="宋体"/>
                <w:iCs/>
                <w:sz w:val="24"/>
                <w:lang w:val="en-US" w:eastAsia="zh-CN"/>
              </w:rPr>
              <w:t>10号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29</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彩虹所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周门路</w:t>
            </w:r>
            <w:r>
              <w:rPr>
                <w:rFonts w:hint="eastAsia" w:ascii="宋体" w:hAnsi="宋体"/>
                <w:iCs/>
                <w:sz w:val="24"/>
                <w:lang w:val="en-US" w:eastAsia="zh-CN"/>
              </w:rPr>
              <w:t>17号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val="en-US" w:eastAsia="zh-CN"/>
              </w:rPr>
              <w:t>30</w:t>
            </w:r>
          </w:p>
        </w:tc>
        <w:tc>
          <w:tcPr>
            <w:tcW w:w="2880" w:type="dxa"/>
            <w:noWrap w:val="0"/>
            <w:vAlign w:val="top"/>
          </w:tcPr>
          <w:p>
            <w:pPr>
              <w:tabs>
                <w:tab w:val="left" w:pos="360"/>
              </w:tabs>
              <w:snapToGrid w:val="0"/>
              <w:jc w:val="center"/>
              <w:rPr>
                <w:rFonts w:hint="eastAsia" w:ascii="宋体" w:hAnsi="宋体" w:eastAsiaTheme="minorEastAsia"/>
                <w:iCs/>
                <w:sz w:val="24"/>
                <w:lang w:eastAsia="zh-CN"/>
              </w:rPr>
            </w:pPr>
            <w:r>
              <w:rPr>
                <w:rFonts w:hint="eastAsia" w:ascii="宋体" w:hAnsi="宋体"/>
                <w:iCs/>
                <w:sz w:val="24"/>
                <w:lang w:eastAsia="zh-CN"/>
              </w:rPr>
              <w:t>桥中所</w:t>
            </w:r>
          </w:p>
        </w:tc>
        <w:tc>
          <w:tcPr>
            <w:tcW w:w="3275" w:type="dxa"/>
            <w:noWrap w:val="0"/>
            <w:vAlign w:val="top"/>
          </w:tcPr>
          <w:p>
            <w:pPr>
              <w:tabs>
                <w:tab w:val="left" w:pos="360"/>
              </w:tabs>
              <w:snapToGrid w:val="0"/>
              <w:jc w:val="center"/>
              <w:rPr>
                <w:rFonts w:hint="default" w:ascii="宋体" w:hAnsi="宋体" w:eastAsiaTheme="minorEastAsia"/>
                <w:iCs/>
                <w:sz w:val="24"/>
                <w:lang w:val="en-US" w:eastAsia="zh-CN"/>
              </w:rPr>
            </w:pPr>
            <w:r>
              <w:rPr>
                <w:rFonts w:hint="eastAsia" w:ascii="宋体" w:hAnsi="宋体"/>
                <w:iCs/>
                <w:sz w:val="24"/>
                <w:lang w:eastAsia="zh-CN"/>
              </w:rPr>
              <w:t>桥中坦尾南路</w:t>
            </w:r>
            <w:r>
              <w:rPr>
                <w:rFonts w:hint="eastAsia" w:ascii="宋体" w:hAnsi="宋体"/>
                <w:iCs/>
                <w:sz w:val="24"/>
                <w:lang w:val="en-US" w:eastAsia="zh-CN"/>
              </w:rPr>
              <w:t>1号</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r>
        <w:rPr>
          <w:sz w:val="24"/>
        </w:rPr>
        <w:t>注：如新增的送货地点不在列表内，以采购人的指定地点为准。</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pPr>
      <w:r>
        <w:rPr>
          <w:sz w:val="24"/>
        </w:rPr>
        <w:t>3.包装与标志要求：容器(框、箱、袋)要求清洁、干燥、牢固、透气，无污染、无异味、无霉变现象。每件包装必须按《农产品包装和标识管理办法》贴标签，并标明产地、品种、净含量、生产单位及地址和采收日期。</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根据内部防疫要求运输车辆和驾驶人应当固定，保持车辆干净卫生无污染，如须更换车辆及驾驶人，须征得采购人同意，未经同意更换的，采购有权退货，中标人要负一切责任。</w:t>
      </w:r>
    </w:p>
    <w:p>
      <w:pPr>
        <w:keepNext w:val="0"/>
        <w:keepLines w:val="0"/>
        <w:pageBreakBefore w:val="0"/>
        <w:widowControl w:val="0"/>
        <w:kinsoku/>
        <w:wordWrap/>
        <w:overflowPunct/>
        <w:topLinePunct w:val="0"/>
        <w:autoSpaceDE/>
        <w:autoSpaceDN/>
        <w:bidi w:val="0"/>
        <w:adjustRightInd/>
        <w:snapToGrid/>
        <w:spacing w:line="360" w:lineRule="auto"/>
        <w:ind w:firstLine="470"/>
        <w:jc w:val="both"/>
        <w:textAlignment w:val="auto"/>
        <w:outlineLvl w:val="2"/>
        <w:rPr>
          <w:sz w:val="24"/>
        </w:rPr>
      </w:pPr>
      <w:r>
        <w:rPr>
          <w:sz w:val="24"/>
        </w:rPr>
        <w:t>5.数量方面要求：</w:t>
      </w:r>
    </w:p>
    <w:p>
      <w:pPr>
        <w:keepNext w:val="0"/>
        <w:keepLines w:val="0"/>
        <w:pageBreakBefore w:val="0"/>
        <w:widowControl w:val="0"/>
        <w:kinsoku/>
        <w:wordWrap/>
        <w:overflowPunct/>
        <w:topLinePunct w:val="0"/>
        <w:autoSpaceDE/>
        <w:autoSpaceDN/>
        <w:bidi w:val="0"/>
        <w:adjustRightInd/>
        <w:snapToGrid/>
        <w:spacing w:line="360" w:lineRule="auto"/>
        <w:ind w:firstLine="470"/>
        <w:jc w:val="both"/>
        <w:textAlignment w:val="auto"/>
      </w:pPr>
      <w:r>
        <w:rPr>
          <w:sz w:val="24"/>
        </w:rPr>
        <w:t>1）中标人所送食材的数量和品种应与采购人订货数量和品种一致，并以采购人的验货数量和品种为准。</w:t>
      </w:r>
    </w:p>
    <w:p>
      <w:pPr>
        <w:keepNext w:val="0"/>
        <w:keepLines w:val="0"/>
        <w:pageBreakBefore w:val="0"/>
        <w:widowControl w:val="0"/>
        <w:kinsoku/>
        <w:wordWrap/>
        <w:overflowPunct/>
        <w:topLinePunct w:val="0"/>
        <w:autoSpaceDE/>
        <w:autoSpaceDN/>
        <w:bidi w:val="0"/>
        <w:adjustRightInd/>
        <w:snapToGrid/>
        <w:spacing w:line="360" w:lineRule="auto"/>
        <w:ind w:firstLine="494"/>
        <w:jc w:val="both"/>
        <w:textAlignment w:val="auto"/>
      </w:pPr>
      <w:r>
        <w:rPr>
          <w:sz w:val="24"/>
        </w:rPr>
        <w:t>2）当采购人所订食材在市场上缺货或数量不足时，中标人应及时向采购人汇报、并商量解决办法,确保采购人正常供餐。</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3）中标人每次随货送上一式两份的送货清单，供双方验货后签字确认，双方各持一份，作为送、收货的凭证。</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6.每次根据采购人的通知订购品种和数量后，具体送货时间由采购人通知时约定，由采购人指定负责人验收过秤记录。对于不符合质量的品种采购人可退货或换货（由于产品质量而造成人员发生安全事故时，中标人须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7.★对采购人临时的供货要求，中标人应安排专人负责，一个小时送到指定饭堂，并免费协助采购人进行切配清洗工作，以保证饭堂的按时开餐需要。投标人</w:t>
      </w:r>
      <w:r>
        <w:rPr>
          <w:rFonts w:hint="eastAsia"/>
          <w:sz w:val="24"/>
          <w:lang w:val="en-US" w:eastAsia="zh-CN"/>
        </w:rPr>
        <w:t>投标时</w:t>
      </w:r>
      <w:r>
        <w:rPr>
          <w:sz w:val="24"/>
        </w:rPr>
        <w:t>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8.配送人进入我分局各个单位需严格执行分局的防疫要求，配送人必须持有个人健康证。</w:t>
      </w:r>
    </w:p>
    <w:p>
      <w:pPr>
        <w:keepNext w:val="0"/>
        <w:keepLines w:val="0"/>
        <w:pageBreakBefore w:val="0"/>
        <w:widowControl w:val="0"/>
        <w:kinsoku/>
        <w:wordWrap/>
        <w:overflowPunct/>
        <w:topLinePunct w:val="0"/>
        <w:autoSpaceDE/>
        <w:autoSpaceDN/>
        <w:bidi w:val="0"/>
        <w:adjustRightInd/>
        <w:snapToGrid/>
        <w:spacing w:line="360" w:lineRule="auto"/>
        <w:ind w:firstLine="354"/>
        <w:jc w:val="both"/>
        <w:textAlignment w:val="auto"/>
        <w:outlineLvl w:val="1"/>
        <w:rPr>
          <w:b/>
          <w:sz w:val="24"/>
        </w:rPr>
      </w:pPr>
      <w:r>
        <w:rPr>
          <w:b/>
          <w:sz w:val="24"/>
        </w:rPr>
        <w:t>（五）定价方式</w:t>
      </w:r>
    </w:p>
    <w:p>
      <w:pPr>
        <w:pStyle w:val="15"/>
        <w:numPr>
          <w:ilvl w:val="1"/>
          <w:numId w:val="2"/>
        </w:numPr>
        <w:tabs>
          <w:tab w:val="left" w:pos="426"/>
        </w:tabs>
        <w:snapToGrid w:val="0"/>
        <w:spacing w:line="360" w:lineRule="auto"/>
        <w:ind w:left="426" w:hanging="284"/>
        <w:textAlignment w:val="auto"/>
        <w:rPr>
          <w:rFonts w:hint="eastAsia" w:hAnsi="宋体"/>
          <w:sz w:val="24"/>
          <w:szCs w:val="24"/>
        </w:rPr>
      </w:pPr>
      <w:r>
        <w:rPr>
          <w:rFonts w:hint="eastAsia" w:hAnsi="宋体"/>
          <w:sz w:val="24"/>
          <w:szCs w:val="24"/>
        </w:rPr>
        <w:t>价格均以【广州市发展和改革委员会网http://fgw.gz.gov.cn/</w:t>
      </w:r>
      <w:r>
        <w:rPr>
          <w:rFonts w:hint="eastAsia" w:hAnsi="宋体"/>
          <w:sz w:val="24"/>
          <w:szCs w:val="24"/>
        </w:rPr>
        <w:t>中（广州菜篮子价格：全市菜篮子平价零售价、米袋子行情价格）】为基准，</w:t>
      </w:r>
      <w:r>
        <w:rPr>
          <w:rFonts w:hint="eastAsia" w:hAnsi="宋体"/>
          <w:sz w:val="24"/>
          <w:szCs w:val="24"/>
          <w:lang w:val="en-US" w:eastAsia="zh-CN"/>
        </w:rPr>
        <w:t>折扣</w:t>
      </w:r>
      <w:r>
        <w:rPr>
          <w:rFonts w:hint="eastAsia" w:hAnsi="宋体"/>
          <w:sz w:val="24"/>
          <w:szCs w:val="24"/>
        </w:rPr>
        <w:t>由各投标人自行报价。</w:t>
      </w:r>
    </w:p>
    <w:p>
      <w:pPr>
        <w:pStyle w:val="15"/>
        <w:numPr>
          <w:ilvl w:val="1"/>
          <w:numId w:val="2"/>
        </w:numPr>
        <w:tabs>
          <w:tab w:val="left" w:pos="426"/>
        </w:tabs>
        <w:snapToGrid w:val="0"/>
        <w:spacing w:line="360" w:lineRule="auto"/>
        <w:ind w:left="426" w:hanging="284"/>
        <w:textAlignment w:val="auto"/>
        <w:rPr>
          <w:rFonts w:hint="eastAsia" w:hAnsi="宋体"/>
          <w:sz w:val="24"/>
          <w:szCs w:val="24"/>
        </w:rPr>
      </w:pPr>
      <w:r>
        <w:rPr>
          <w:rFonts w:hint="eastAsia" w:hAnsi="宋体"/>
          <w:sz w:val="24"/>
          <w:szCs w:val="24"/>
          <w:lang w:val="en-US" w:eastAsia="zh-CN"/>
        </w:rPr>
        <w:t>本项目以折扣进行报价，投标人统一对本项目报一个折扣，不接受有选择性报价。0%＜投标折扣≤100%，且不得为负数，该折扣必须为固定报价（如20%），不得存在区间值（如20%～25%），否则将被视为非实质性响应招标文件，按无效投标处理。</w:t>
      </w:r>
    </w:p>
    <w:p>
      <w:pPr>
        <w:pStyle w:val="15"/>
        <w:numPr>
          <w:ilvl w:val="1"/>
          <w:numId w:val="2"/>
        </w:numPr>
        <w:tabs>
          <w:tab w:val="left" w:pos="426"/>
        </w:tabs>
        <w:snapToGrid w:val="0"/>
        <w:spacing w:line="360" w:lineRule="auto"/>
        <w:ind w:left="426" w:hanging="284"/>
        <w:textAlignment w:val="auto"/>
        <w:rPr>
          <w:rFonts w:hAnsi="宋体"/>
          <w:b/>
          <w:sz w:val="24"/>
          <w:szCs w:val="24"/>
        </w:rPr>
      </w:pPr>
      <w:r>
        <w:rPr>
          <w:rFonts w:hint="eastAsia" w:hAnsi="宋体"/>
          <w:sz w:val="24"/>
          <w:szCs w:val="24"/>
        </w:rPr>
        <w:t>若投标人被确定为中标人，【广州市发展和改革委员会网</w:t>
      </w:r>
      <w:r>
        <w:rPr>
          <w:rFonts w:hAnsi="宋体"/>
          <w:sz w:val="24"/>
          <w:szCs w:val="24"/>
        </w:rPr>
        <w:t>http://fgw.gz.gov.cn/</w:t>
      </w:r>
      <w:r>
        <w:rPr>
          <w:rFonts w:hint="eastAsia" w:hAnsi="宋体"/>
          <w:sz w:val="24"/>
          <w:szCs w:val="24"/>
        </w:rPr>
        <w:t>中（广州菜篮子价格：全市菜篮子平价零售价或米袋子行情价格）】公布的品种在今后的供应中以投标人投标报价的下浮率为执行标准。其定价时间以15天为周期（1日、16日），每期根据【广州市发展和改革委员会网</w:t>
      </w:r>
      <w:r>
        <w:rPr>
          <w:rFonts w:hAnsi="宋体"/>
          <w:sz w:val="24"/>
          <w:szCs w:val="24"/>
        </w:rPr>
        <w:t>http://fgw.gz.gov.cn/</w:t>
      </w:r>
      <w:r>
        <w:rPr>
          <w:rFonts w:hint="eastAsia" w:hAnsi="宋体"/>
          <w:sz w:val="24"/>
          <w:szCs w:val="24"/>
        </w:rPr>
        <w:t>中（广州菜篮子价格：全市菜篮子平价零售价或米袋子行情价格）】变动而变动，定价当天没有公布价格的，将日期推前至有公布价格的日期，以该日期公布的价格参照作基准价。</w:t>
      </w:r>
    </w:p>
    <w:p>
      <w:pPr>
        <w:pStyle w:val="15"/>
        <w:numPr>
          <w:ilvl w:val="1"/>
          <w:numId w:val="2"/>
        </w:numPr>
        <w:tabs>
          <w:tab w:val="left" w:pos="426"/>
        </w:tabs>
        <w:snapToGrid w:val="0"/>
        <w:spacing w:line="360" w:lineRule="auto"/>
        <w:ind w:left="426" w:hanging="284"/>
        <w:textAlignment w:val="auto"/>
        <w:rPr>
          <w:rFonts w:hint="eastAsia" w:hAnsi="宋体"/>
          <w:b/>
          <w:bCs/>
          <w:sz w:val="24"/>
          <w:szCs w:val="24"/>
        </w:rPr>
      </w:pPr>
      <w:r>
        <w:rPr>
          <w:rFonts w:hint="eastAsia" w:hAnsi="宋体"/>
          <w:b/>
          <w:bCs/>
          <w:sz w:val="24"/>
          <w:szCs w:val="24"/>
        </w:rPr>
        <w:t>结算公式：结算价格＝全市菜篮子平价零售价或米袋子行情价格（</w:t>
      </w:r>
      <w:r>
        <w:rPr>
          <w:rFonts w:hint="eastAsia" w:hAnsi="宋体"/>
          <w:b/>
          <w:bCs/>
          <w:sz w:val="24"/>
          <w:szCs w:val="24"/>
          <w:lang w:val="en-US" w:eastAsia="zh-CN"/>
        </w:rPr>
        <w:t>以</w:t>
      </w:r>
      <w:r>
        <w:rPr>
          <w:rFonts w:hint="eastAsia" w:hAnsi="宋体"/>
          <w:b/>
          <w:bCs/>
          <w:sz w:val="24"/>
          <w:szCs w:val="24"/>
        </w:rPr>
        <w:t>15天为周期）×中标</w:t>
      </w:r>
      <w:r>
        <w:rPr>
          <w:rFonts w:hint="eastAsia" w:hAnsi="宋体"/>
          <w:b/>
          <w:bCs/>
          <w:sz w:val="24"/>
          <w:szCs w:val="24"/>
          <w:lang w:val="en-US" w:eastAsia="zh-CN"/>
        </w:rPr>
        <w:t>折扣</w:t>
      </w:r>
      <w:r>
        <w:rPr>
          <w:rFonts w:hint="eastAsia" w:hAnsi="宋体"/>
          <w:b/>
          <w:bCs/>
          <w:sz w:val="24"/>
          <w:szCs w:val="24"/>
        </w:rPr>
        <w:t>×实际供货数量。</w:t>
      </w:r>
    </w:p>
    <w:p>
      <w:pPr>
        <w:pStyle w:val="15"/>
        <w:numPr>
          <w:ilvl w:val="1"/>
          <w:numId w:val="2"/>
        </w:numPr>
        <w:tabs>
          <w:tab w:val="left" w:pos="426"/>
        </w:tabs>
        <w:snapToGrid w:val="0"/>
        <w:spacing w:line="360" w:lineRule="auto"/>
        <w:ind w:left="426" w:hanging="284"/>
        <w:textAlignment w:val="auto"/>
        <w:rPr>
          <w:rFonts w:hint="eastAsia" w:hAnsi="宋体"/>
          <w:sz w:val="24"/>
          <w:szCs w:val="24"/>
        </w:rPr>
      </w:pPr>
      <w:r>
        <w:rPr>
          <w:rFonts w:hint="eastAsia" w:hAnsi="宋体"/>
          <w:sz w:val="24"/>
          <w:szCs w:val="24"/>
        </w:rPr>
        <w:t>【广州市发展和改革委员会网http://fgw.gz.gov.cn/中（广州菜篮子价格：全市菜篮子平价零售价或米袋子行情价格）】未公布的品种，以采购人周边肉菜市场的平均零售价为定价基准，定价时间以15天为周期，</w:t>
      </w:r>
      <w:r>
        <w:rPr>
          <w:rFonts w:hint="eastAsia" w:hAnsi="宋体"/>
          <w:b/>
          <w:bCs/>
          <w:sz w:val="24"/>
          <w:szCs w:val="24"/>
        </w:rPr>
        <w:t>结算价格=周边肉菜市场平均零售价（以15天为周期）×中标</w:t>
      </w:r>
      <w:r>
        <w:rPr>
          <w:rFonts w:hint="eastAsia" w:hAnsi="宋体"/>
          <w:b/>
          <w:bCs/>
          <w:sz w:val="24"/>
          <w:szCs w:val="24"/>
          <w:lang w:val="en-US" w:eastAsia="zh-CN"/>
        </w:rPr>
        <w:t>折扣</w:t>
      </w:r>
      <w:r>
        <w:rPr>
          <w:rFonts w:hint="eastAsia" w:hAnsi="宋体"/>
          <w:b/>
          <w:bCs/>
          <w:sz w:val="24"/>
          <w:szCs w:val="24"/>
        </w:rPr>
        <w:t>×实际供货数量。</w:t>
      </w:r>
    </w:p>
    <w:p>
      <w:pPr>
        <w:pStyle w:val="15"/>
        <w:numPr>
          <w:ilvl w:val="1"/>
          <w:numId w:val="2"/>
        </w:numPr>
        <w:tabs>
          <w:tab w:val="left" w:pos="426"/>
        </w:tabs>
        <w:snapToGrid w:val="0"/>
        <w:spacing w:line="360" w:lineRule="auto"/>
        <w:ind w:left="426" w:hanging="284"/>
        <w:textAlignment w:val="auto"/>
        <w:rPr>
          <w:rFonts w:hint="eastAsia" w:hAnsi="宋体"/>
          <w:sz w:val="24"/>
          <w:szCs w:val="24"/>
        </w:rPr>
      </w:pPr>
      <w:r>
        <w:rPr>
          <w:rFonts w:hint="eastAsia" w:hAnsi="宋体"/>
          <w:sz w:val="24"/>
          <w:szCs w:val="24"/>
        </w:rPr>
        <w:t>供货价格已包含市场调查、食品采购、包装、运输、装卸、搬运、不合格食品的退换、所有工作人员的工勤费用以及合同实施过程中的可预见及不可预见费用。</w:t>
      </w:r>
    </w:p>
    <w:p>
      <w:pPr>
        <w:keepNext w:val="0"/>
        <w:keepLines w:val="0"/>
        <w:pageBreakBefore w:val="0"/>
        <w:widowControl w:val="0"/>
        <w:kinsoku/>
        <w:wordWrap/>
        <w:overflowPunct/>
        <w:topLinePunct w:val="0"/>
        <w:autoSpaceDE/>
        <w:autoSpaceDN/>
        <w:bidi w:val="0"/>
        <w:adjustRightInd/>
        <w:snapToGrid/>
        <w:spacing w:line="360" w:lineRule="auto"/>
        <w:ind w:firstLine="354"/>
        <w:jc w:val="both"/>
        <w:textAlignment w:val="auto"/>
        <w:outlineLvl w:val="1"/>
      </w:pPr>
      <w:r>
        <w:rPr>
          <w:b/>
          <w:sz w:val="24"/>
        </w:rPr>
        <w:t>（六）售后服务</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pPr>
      <w:r>
        <w:rPr>
          <w:sz w:val="24"/>
        </w:rPr>
        <w:t xml:space="preserve"> (一)凡要求中标人提供检验检疫合格证而未能提供，或食材质量未达到要求,如假冒伪劣、以次充好、变质、异味、发霉、过期等,采购人均可拒收和要求重新补货。如中标人所供食材质量或规格未能完全符合要求或货不对板的,采购人有权拒收,并对当次不良记录存档备案。</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rPr>
          <w:b w:val="0"/>
          <w:bCs/>
        </w:rPr>
      </w:pPr>
      <w:r>
        <w:rPr>
          <w:sz w:val="24"/>
        </w:rPr>
        <w:t>（二）★</w:t>
      </w:r>
      <w:r>
        <w:rPr>
          <w:b w:val="0"/>
          <w:bCs/>
          <w:sz w:val="24"/>
        </w:rPr>
        <w:t>一经发现供应以下对人体健康有害的食材</w:t>
      </w:r>
      <w:r>
        <w:rPr>
          <w:rFonts w:hint="eastAsia"/>
          <w:b w:val="0"/>
          <w:bCs/>
          <w:sz w:val="24"/>
          <w:lang w:eastAsia="zh-CN"/>
        </w:rPr>
        <w:t>，</w:t>
      </w:r>
      <w:r>
        <w:rPr>
          <w:b w:val="0"/>
          <w:bCs/>
          <w:sz w:val="24"/>
        </w:rPr>
        <w:t>除全部退货外</w:t>
      </w:r>
      <w:r>
        <w:rPr>
          <w:rFonts w:hint="eastAsia"/>
          <w:b w:val="0"/>
          <w:bCs/>
          <w:sz w:val="24"/>
          <w:lang w:eastAsia="zh-CN"/>
        </w:rPr>
        <w:t>，</w:t>
      </w:r>
      <w:r>
        <w:rPr>
          <w:b w:val="0"/>
          <w:bCs/>
          <w:sz w:val="24"/>
        </w:rPr>
        <w:t>由此造成的经济损失及法律责任由中标人承担</w:t>
      </w:r>
      <w:r>
        <w:rPr>
          <w:rFonts w:hint="eastAsia"/>
          <w:b w:val="0"/>
          <w:bCs/>
          <w:sz w:val="24"/>
          <w:lang w:eastAsia="zh-CN"/>
        </w:rPr>
        <w:t>，</w:t>
      </w:r>
      <w:r>
        <w:rPr>
          <w:b w:val="0"/>
          <w:bCs/>
          <w:sz w:val="24"/>
        </w:rPr>
        <w:t>情节严重的</w:t>
      </w:r>
      <w:r>
        <w:rPr>
          <w:rFonts w:hint="eastAsia"/>
          <w:b w:val="0"/>
          <w:bCs/>
          <w:sz w:val="24"/>
          <w:lang w:eastAsia="zh-CN"/>
        </w:rPr>
        <w:t>，</w:t>
      </w:r>
      <w:r>
        <w:rPr>
          <w:b w:val="0"/>
          <w:bCs/>
          <w:sz w:val="24"/>
        </w:rPr>
        <w:t>取消中标人供货资格，移送相关部门处理。</w:t>
      </w:r>
      <w:r>
        <w:rPr>
          <w:rFonts w:hint="eastAsia"/>
          <w:b w:val="0"/>
          <w:bCs/>
          <w:sz w:val="24"/>
          <w:lang w:val="en-US" w:eastAsia="zh-CN"/>
        </w:rPr>
        <w:t>投标人</w:t>
      </w:r>
      <w:r>
        <w:rPr>
          <w:b w:val="0"/>
          <w:bCs/>
          <w:sz w:val="24"/>
        </w:rPr>
        <w:t>投标时提供承诺函，格式自拟。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1．腐烂变质、霉变、生虫、污秽不洁、感官性状异常的；</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2．含有毒有害物质或被有害物质污染；</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3．致病性寄生虫、微生物含量超过国家限定标准的；</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4．未经动物检疫部门检疫、检验或检验检疫不合格的肉类及其制品；</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5．病死、毒死或者死因不明的禽畜等及其制品；</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6．掺假、掺杂、以次充好；</w:t>
      </w:r>
    </w:p>
    <w:p>
      <w:pPr>
        <w:keepNext w:val="0"/>
        <w:keepLines w:val="0"/>
        <w:pageBreakBefore w:val="0"/>
        <w:widowControl w:val="0"/>
        <w:kinsoku/>
        <w:wordWrap/>
        <w:overflowPunct/>
        <w:topLinePunct w:val="0"/>
        <w:autoSpaceDE/>
        <w:autoSpaceDN/>
        <w:bidi w:val="0"/>
        <w:adjustRightInd/>
        <w:snapToGrid/>
        <w:spacing w:line="360" w:lineRule="auto"/>
        <w:ind w:firstLine="506"/>
        <w:jc w:val="both"/>
        <w:textAlignment w:val="auto"/>
        <w:rPr>
          <w:b w:val="0"/>
          <w:bCs/>
        </w:rPr>
      </w:pPr>
      <w:r>
        <w:rPr>
          <w:b w:val="0"/>
          <w:bCs/>
          <w:sz w:val="24"/>
        </w:rPr>
        <w:t>7．用非食品原料加工或加入非食品化学物质的。</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三）采购人在使用中标人提供的食材中，发现中标人的食材不符合合同约定的要求或不符合国家食品质量、卫生安全标准的，采购人立即通知中标人的人员到场进行确认，对食材进行拍照、固定证据、封存，并在1小时内送国家检测部门进行检测。经检测食材不符合国家相关质量、安全卫生标准的，检测费用由中标人承担，采购人有权退货或解除合同，中标人承担合同不能履行的违约责任，并赔偿采购人的经济损失。</w:t>
      </w:r>
    </w:p>
    <w:p>
      <w:pPr>
        <w:keepNext w:val="0"/>
        <w:keepLines w:val="0"/>
        <w:pageBreakBefore w:val="0"/>
        <w:widowControl w:val="0"/>
        <w:kinsoku/>
        <w:wordWrap/>
        <w:overflowPunct/>
        <w:topLinePunct w:val="0"/>
        <w:autoSpaceDE/>
        <w:autoSpaceDN/>
        <w:bidi w:val="0"/>
        <w:adjustRightInd/>
        <w:snapToGrid/>
        <w:spacing w:line="360" w:lineRule="auto"/>
        <w:ind w:firstLine="472"/>
        <w:jc w:val="both"/>
        <w:textAlignment w:val="auto"/>
        <w:outlineLvl w:val="1"/>
      </w:pPr>
      <w:r>
        <w:rPr>
          <w:b/>
          <w:sz w:val="24"/>
        </w:rPr>
        <w:t>（七）保密条款</w:t>
      </w:r>
    </w:p>
    <w:p>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pPr>
      <w:r>
        <w:rPr>
          <w:sz w:val="24"/>
        </w:rPr>
        <w:t>中标人在实施货物供货期间，不得将供货的实际数量及供货地点泄露给其他企业或者个人，中标人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p>
      <w:pPr>
        <w:keepNext w:val="0"/>
        <w:keepLines w:val="0"/>
        <w:pageBreakBefore w:val="0"/>
        <w:widowControl w:val="0"/>
        <w:kinsoku/>
        <w:wordWrap/>
        <w:overflowPunct/>
        <w:topLinePunct w:val="0"/>
        <w:autoSpaceDE/>
        <w:autoSpaceDN/>
        <w:bidi w:val="0"/>
        <w:adjustRightInd/>
        <w:snapToGrid/>
        <w:spacing w:line="360" w:lineRule="auto"/>
        <w:ind w:firstLine="472"/>
        <w:jc w:val="both"/>
        <w:textAlignment w:val="auto"/>
        <w:outlineLvl w:val="1"/>
      </w:pPr>
      <w:r>
        <w:rPr>
          <w:b/>
          <w:sz w:val="24"/>
        </w:rPr>
        <w:t>（八）付款方式</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中标人完成当月供货订单后，于次月10日前凭国家正式发票向采购人申请付款，采购人收到发票及申请后在</w:t>
      </w:r>
      <w:r>
        <w:rPr>
          <w:sz w:val="24"/>
          <w:highlight w:val="none"/>
        </w:rPr>
        <w:t>5个工作日</w:t>
      </w:r>
      <w:r>
        <w:rPr>
          <w:sz w:val="24"/>
        </w:rPr>
        <w:t>内根据实际结算情况办理支付相关款项的手续（不包括年初政府财政资金用款额度未下达时间）。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pPr>
      <w:r>
        <w:rPr>
          <w:b/>
          <w:sz w:val="24"/>
        </w:rPr>
        <w:t>四、履约保证金</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outlineLvl w:val="1"/>
      </w:pPr>
      <w:r>
        <w:rPr>
          <w:sz w:val="24"/>
        </w:rPr>
        <w:t>（一）提交说明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pPr>
      <w:r>
        <w:rPr>
          <w:sz w:val="24"/>
        </w:rPr>
        <w:t>1.时间：合同签订之日起</w:t>
      </w:r>
      <w:r>
        <w:rPr>
          <w:sz w:val="24"/>
          <w:u w:val="single"/>
        </w:rPr>
        <w:t>15个工作日</w:t>
      </w:r>
      <w:r>
        <w:rPr>
          <w:sz w:val="24"/>
        </w:rPr>
        <w:t>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yellow"/>
        </w:rPr>
      </w:pPr>
      <w:r>
        <w:rPr>
          <w:sz w:val="24"/>
          <w:highlight w:val="none"/>
        </w:rPr>
        <w:t>2.金额：</w:t>
      </w:r>
      <w:r>
        <w:rPr>
          <w:rFonts w:hint="eastAsia"/>
          <w:sz w:val="24"/>
          <w:highlight w:val="none"/>
          <w:lang w:val="en-US" w:eastAsia="zh-CN"/>
        </w:rPr>
        <w:t>收取比列：0.71%，说明：合同签订之日起15个工作日内，中标人须向采购人支付人民币10万元的履约保证金。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pPr>
      <w:r>
        <w:rPr>
          <w:sz w:val="24"/>
        </w:rPr>
        <w:t>3.方式：银行履约保函；</w:t>
      </w:r>
    </w:p>
    <w:p>
      <w:pPr>
        <w:keepNext w:val="0"/>
        <w:keepLines w:val="0"/>
        <w:pageBreakBefore w:val="0"/>
        <w:widowControl w:val="0"/>
        <w:kinsoku/>
        <w:wordWrap/>
        <w:overflowPunct/>
        <w:topLinePunct w:val="0"/>
        <w:autoSpaceDE/>
        <w:autoSpaceDN/>
        <w:bidi w:val="0"/>
        <w:adjustRightInd/>
        <w:snapToGrid/>
        <w:spacing w:line="360" w:lineRule="auto"/>
        <w:ind w:firstLine="360"/>
        <w:jc w:val="both"/>
        <w:textAlignment w:val="auto"/>
        <w:outlineLvl w:val="1"/>
      </w:pPr>
      <w:r>
        <w:rPr>
          <w:sz w:val="24"/>
        </w:rPr>
        <w:t>（二）退还说明：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sz w:val="24"/>
        </w:rPr>
        <w:t>1.时间、方式和条件：中标人履行完成合同约定权利义务事项在合同期满之日起</w:t>
      </w:r>
      <w:r>
        <w:rPr>
          <w:sz w:val="24"/>
          <w:u w:val="single"/>
        </w:rPr>
        <w:t>30日</w:t>
      </w:r>
      <w:r>
        <w:rPr>
          <w:sz w:val="24"/>
        </w:rPr>
        <w:t>内失效。不计利息。</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pPr>
      <w:r>
        <w:rPr>
          <w:sz w:val="24"/>
        </w:rPr>
        <w:t>中标人</w:t>
      </w:r>
      <w:r>
        <w:rPr>
          <w:rFonts w:hint="eastAsia"/>
          <w:sz w:val="24"/>
          <w:lang w:val="en-US" w:eastAsia="zh-CN"/>
        </w:rPr>
        <w:t>若</w:t>
      </w:r>
      <w:r>
        <w:rPr>
          <w:sz w:val="24"/>
        </w:rPr>
        <w:t>违反合同</w:t>
      </w:r>
      <w:r>
        <w:rPr>
          <w:rFonts w:hint="eastAsia"/>
          <w:sz w:val="24"/>
          <w:lang w:val="en-US" w:eastAsia="zh-CN"/>
        </w:rPr>
        <w:t>与</w:t>
      </w:r>
      <w:r>
        <w:rPr>
          <w:sz w:val="24"/>
        </w:rPr>
        <w:t>附件约定的任何</w:t>
      </w:r>
      <w:r>
        <w:rPr>
          <w:rFonts w:hint="eastAsia"/>
          <w:sz w:val="24"/>
          <w:lang w:val="en-US" w:eastAsia="zh-CN"/>
        </w:rPr>
        <w:t>条款及考核内容</w:t>
      </w:r>
      <w:r>
        <w:rPr>
          <w:sz w:val="24"/>
        </w:rPr>
        <w:t>，采购人有权扣除履约保证金</w:t>
      </w:r>
      <w:r>
        <w:rPr>
          <w:rFonts w:hint="eastAsia"/>
          <w:sz w:val="24"/>
          <w:lang w:eastAsia="zh-CN"/>
        </w:rPr>
        <w:t>。</w:t>
      </w:r>
      <w:r>
        <w:rPr>
          <w:rFonts w:hint="eastAsia"/>
          <w:sz w:val="24"/>
          <w:lang w:val="en-US" w:eastAsia="zh-CN"/>
        </w:rPr>
        <w:t>此项金额</w:t>
      </w:r>
      <w:r>
        <w:rPr>
          <w:sz w:val="24"/>
        </w:rPr>
        <w:t>可以从履约保证金或者当月支付金额中扣除。第一次违反扣除履约保证金的3%，第二次违反扣除履约保证金的5%，第三次违反扣除履约保证金的20%。当第三次违反仍未进行整改的，采购人将上报监管部门，要求终止合同，所造成的损失将由中标人负责。</w:t>
      </w:r>
    </w:p>
    <w:p/>
    <w:p>
      <w:pPr>
        <w:jc w:val="center"/>
        <w:rPr>
          <w:rFonts w:hint="eastAsia" w:ascii="宋体" w:hAnsi="宋体" w:eastAsia="宋体" w:cs="宋体"/>
          <w:color w:val="auto"/>
          <w:sz w:val="36"/>
          <w:szCs w:val="36"/>
        </w:rPr>
      </w:pPr>
    </w:p>
    <w:p>
      <w:pPr>
        <w:jc w:val="center"/>
        <w:rPr>
          <w:rFonts w:hint="eastAsia" w:ascii="宋体" w:hAnsi="宋体" w:eastAsia="宋体" w:cs="宋体"/>
          <w:color w:val="auto"/>
          <w:sz w:val="36"/>
          <w:szCs w:val="36"/>
        </w:rPr>
      </w:pPr>
      <w:r>
        <w:rPr>
          <w:rFonts w:hint="eastAsia" w:ascii="宋体" w:hAnsi="宋体" w:eastAsia="宋体" w:cs="宋体"/>
          <w:color w:val="auto"/>
          <w:sz w:val="36"/>
          <w:szCs w:val="36"/>
        </w:rPr>
        <w:t>第</w:t>
      </w:r>
      <w:r>
        <w:rPr>
          <w:rFonts w:hint="eastAsia" w:ascii="宋体" w:hAnsi="宋体" w:eastAsia="宋体" w:cs="宋体"/>
          <w:color w:val="auto"/>
          <w:sz w:val="36"/>
          <w:szCs w:val="36"/>
          <w:u w:val="single"/>
        </w:rPr>
        <w:t xml:space="preserve">  </w:t>
      </w:r>
      <w:r>
        <w:rPr>
          <w:rFonts w:hint="eastAsia" w:ascii="宋体" w:hAnsi="宋体" w:eastAsia="宋体" w:cs="宋体"/>
          <w:color w:val="auto"/>
          <w:sz w:val="36"/>
          <w:szCs w:val="36"/>
        </w:rPr>
        <w:t>季度考核评分表</w:t>
      </w:r>
    </w:p>
    <w:p>
      <w:pPr>
        <w:jc w:val="center"/>
        <w:rPr>
          <w:rFonts w:hint="eastAsia" w:ascii="宋体" w:hAnsi="宋体" w:eastAsia="宋体" w:cs="宋体"/>
          <w:color w:val="auto"/>
        </w:rPr>
      </w:pPr>
      <w:r>
        <w:rPr>
          <w:rFonts w:hint="eastAsia" w:ascii="宋体" w:hAnsi="宋体" w:eastAsia="宋体" w:cs="宋体"/>
          <w:color w:val="auto"/>
          <w:sz w:val="44"/>
          <w:szCs w:val="44"/>
        </w:rPr>
        <w:t xml:space="preserve">                          </w:t>
      </w:r>
      <w:r>
        <w:rPr>
          <w:rFonts w:hint="eastAsia" w:ascii="宋体" w:hAnsi="宋体" w:eastAsia="宋体" w:cs="宋体"/>
          <w:color w:val="auto"/>
        </w:rPr>
        <w:t>时 间：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4065"/>
        <w:gridCol w:w="219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80" w:type="dxa"/>
            <w:shd w:val="clear" w:color="auto" w:fill="D7D7D7" w:themeFill="background1" w:themeFillShade="D8"/>
            <w:vAlign w:val="center"/>
          </w:tcPr>
          <w:p>
            <w:pPr>
              <w:jc w:val="center"/>
              <w:rPr>
                <w:rFonts w:hint="eastAsia" w:ascii="宋体" w:hAnsi="宋体" w:eastAsia="宋体" w:cs="宋体"/>
                <w:color w:val="auto"/>
                <w:vertAlign w:val="baseline"/>
              </w:rPr>
            </w:pPr>
            <w:r>
              <w:rPr>
                <w:rFonts w:hint="eastAsia" w:ascii="宋体" w:hAnsi="宋体" w:eastAsia="宋体" w:cs="宋体"/>
                <w:b/>
                <w:bCs/>
                <w:color w:val="auto"/>
                <w:sz w:val="24"/>
              </w:rPr>
              <w:t>项类</w:t>
            </w:r>
          </w:p>
        </w:tc>
        <w:tc>
          <w:tcPr>
            <w:tcW w:w="4065" w:type="dxa"/>
            <w:shd w:val="clear" w:color="auto" w:fill="D7D7D7" w:themeFill="background1" w:themeFillShade="D8"/>
            <w:vAlign w:val="center"/>
          </w:tcPr>
          <w:p>
            <w:pPr>
              <w:jc w:val="center"/>
              <w:rPr>
                <w:rFonts w:hint="eastAsia" w:ascii="宋体" w:hAnsi="宋体" w:eastAsia="宋体" w:cs="宋体"/>
                <w:color w:val="auto"/>
                <w:vertAlign w:val="baseline"/>
              </w:rPr>
            </w:pPr>
            <w:r>
              <w:rPr>
                <w:rFonts w:hint="eastAsia" w:ascii="宋体" w:hAnsi="宋体" w:eastAsia="宋体" w:cs="宋体"/>
                <w:b/>
                <w:bCs/>
                <w:color w:val="auto"/>
                <w:sz w:val="24"/>
              </w:rPr>
              <w:t>评分细则</w:t>
            </w:r>
          </w:p>
        </w:tc>
        <w:tc>
          <w:tcPr>
            <w:tcW w:w="2190" w:type="dxa"/>
            <w:shd w:val="clear" w:color="auto" w:fill="D7D7D7" w:themeFill="background1" w:themeFillShade="D8"/>
            <w:vAlign w:val="center"/>
          </w:tcPr>
          <w:p>
            <w:pPr>
              <w:jc w:val="center"/>
              <w:rPr>
                <w:rFonts w:hint="eastAsia" w:ascii="宋体" w:hAnsi="宋体" w:eastAsia="宋体" w:cs="宋体"/>
                <w:color w:val="auto"/>
                <w:vertAlign w:val="baseline"/>
              </w:rPr>
            </w:pPr>
            <w:r>
              <w:rPr>
                <w:rFonts w:hint="eastAsia" w:ascii="宋体" w:hAnsi="宋体" w:eastAsia="宋体" w:cs="宋体"/>
                <w:b/>
                <w:bCs/>
                <w:color w:val="auto"/>
                <w:sz w:val="24"/>
              </w:rPr>
              <w:t>扣分统计</w:t>
            </w:r>
          </w:p>
        </w:tc>
        <w:tc>
          <w:tcPr>
            <w:tcW w:w="1087" w:type="dxa"/>
            <w:shd w:val="clear" w:color="auto" w:fill="D7D7D7" w:themeFill="background1" w:themeFillShade="D8"/>
            <w:vAlign w:val="center"/>
          </w:tcPr>
          <w:p>
            <w:pPr>
              <w:jc w:val="center"/>
              <w:rPr>
                <w:rFonts w:hint="eastAsia" w:ascii="宋体" w:hAnsi="宋体" w:eastAsia="宋体" w:cs="宋体"/>
                <w:color w:val="auto"/>
                <w:vertAlign w:val="baseline"/>
              </w:rPr>
            </w:pPr>
            <w:r>
              <w:rPr>
                <w:rFonts w:hint="eastAsia" w:ascii="宋体" w:hAnsi="宋体" w:eastAsia="宋体" w:cs="宋体"/>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配送要求</w:t>
            </w:r>
          </w:p>
        </w:tc>
        <w:tc>
          <w:tcPr>
            <w:tcW w:w="4065" w:type="dxa"/>
            <w:vAlign w:val="center"/>
          </w:tcPr>
          <w:p>
            <w:pPr>
              <w:jc w:val="left"/>
              <w:textAlignment w:val="auto"/>
              <w:rPr>
                <w:rFonts w:hint="eastAsia" w:ascii="宋体" w:hAnsi="宋体" w:eastAsia="宋体" w:cs="宋体"/>
                <w:color w:val="auto"/>
                <w:vertAlign w:val="baseline"/>
              </w:rPr>
            </w:pPr>
            <w:r>
              <w:rPr>
                <w:rFonts w:hint="eastAsia" w:ascii="宋体" w:hAnsi="宋体" w:eastAsia="宋体" w:cs="宋体"/>
                <w:color w:val="auto"/>
                <w:sz w:val="24"/>
              </w:rPr>
              <w:t>在供货期，未在规定时间内完成配送、 换货，每次扣5分。</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eastAsia" w:ascii="宋体" w:hAnsi="宋体" w:eastAsia="宋体" w:cs="宋体"/>
                <w:color w:val="auto"/>
                <w:vertAlign w:val="baseline"/>
              </w:rPr>
            </w:pPr>
          </w:p>
        </w:tc>
        <w:tc>
          <w:tcPr>
            <w:tcW w:w="4065" w:type="dxa"/>
            <w:vAlign w:val="center"/>
          </w:tcPr>
          <w:p>
            <w:pPr>
              <w:jc w:val="left"/>
              <w:textAlignment w:val="auto"/>
              <w:rPr>
                <w:rFonts w:hint="eastAsia" w:ascii="宋体" w:hAnsi="宋体" w:eastAsia="宋体" w:cs="宋体"/>
                <w:color w:val="auto"/>
                <w:vertAlign w:val="baseline"/>
              </w:rPr>
            </w:pPr>
            <w:r>
              <w:rPr>
                <w:rFonts w:hint="eastAsia" w:ascii="宋体" w:hAnsi="宋体" w:eastAsia="宋体" w:cs="宋体"/>
                <w:color w:val="auto"/>
                <w:sz w:val="24"/>
              </w:rPr>
              <w:t>采购人应急需要配送的食材，中标人拒绝或不配合采购人的要求跟招标书承诺的到货时间，每次扣10分。</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eastAsia" w:ascii="宋体" w:hAnsi="宋体" w:eastAsia="宋体" w:cs="宋体"/>
                <w:color w:val="auto"/>
                <w:vertAlign w:val="baseline"/>
              </w:rPr>
            </w:pPr>
          </w:p>
        </w:tc>
        <w:tc>
          <w:tcPr>
            <w:tcW w:w="4065" w:type="dxa"/>
            <w:vAlign w:val="center"/>
          </w:tcPr>
          <w:p>
            <w:pPr>
              <w:jc w:val="left"/>
              <w:textAlignment w:val="auto"/>
              <w:rPr>
                <w:rFonts w:hint="eastAsia" w:ascii="宋体" w:hAnsi="宋体" w:eastAsia="宋体" w:cs="宋体"/>
                <w:color w:val="auto"/>
                <w:vertAlign w:val="baseline"/>
              </w:rPr>
            </w:pPr>
            <w:r>
              <w:rPr>
                <w:rFonts w:hint="eastAsia" w:ascii="宋体" w:hAnsi="宋体" w:eastAsia="宋体" w:cs="宋体"/>
                <w:color w:val="auto"/>
                <w:sz w:val="24"/>
              </w:rPr>
              <w:t>中标人提供假冒伪劣、以次充好的商品，每次扣10分。</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textAlignment w:val="auto"/>
              <w:rPr>
                <w:rFonts w:hint="eastAsia" w:ascii="宋体" w:hAnsi="宋体" w:eastAsia="宋体" w:cs="宋体"/>
                <w:color w:val="auto"/>
                <w:vertAlign w:val="baseline"/>
              </w:rPr>
            </w:pPr>
            <w:r>
              <w:rPr>
                <w:rFonts w:hint="eastAsia" w:ascii="宋体" w:hAnsi="宋体" w:eastAsia="宋体" w:cs="宋体"/>
                <w:color w:val="auto"/>
                <w:sz w:val="24"/>
              </w:rPr>
              <w:t>安全生产管理要求</w:t>
            </w:r>
          </w:p>
        </w:tc>
        <w:tc>
          <w:tcPr>
            <w:tcW w:w="4065" w:type="dxa"/>
            <w:vAlign w:val="center"/>
          </w:tcPr>
          <w:p>
            <w:pPr>
              <w:jc w:val="left"/>
              <w:rPr>
                <w:rFonts w:hint="eastAsia" w:ascii="宋体" w:hAnsi="宋体" w:eastAsia="宋体" w:cs="宋体"/>
                <w:color w:val="auto"/>
                <w:vertAlign w:val="baseline"/>
              </w:rPr>
            </w:pPr>
            <w:r>
              <w:rPr>
                <w:rFonts w:hint="eastAsia" w:ascii="宋体" w:hAnsi="宋体" w:eastAsia="宋体" w:cs="宋体"/>
                <w:color w:val="auto"/>
                <w:sz w:val="24"/>
              </w:rPr>
              <w:t>相应批次的食品未能提供对应相关证明的，或采购人不定期抽查发现检验证明结果各级市场监督管理局检验的结果不一致，每次扣20分。</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textAlignment w:val="auto"/>
              <w:rPr>
                <w:rFonts w:hint="eastAsia" w:ascii="宋体" w:hAnsi="宋体" w:eastAsia="宋体" w:cs="宋体"/>
                <w:color w:val="auto"/>
                <w:vertAlign w:val="baseline"/>
              </w:rPr>
            </w:pPr>
            <w:r>
              <w:rPr>
                <w:rFonts w:hint="eastAsia" w:ascii="宋体" w:hAnsi="宋体" w:eastAsia="宋体" w:cs="宋体"/>
                <w:color w:val="auto"/>
                <w:sz w:val="24"/>
              </w:rPr>
              <w:t>纪律要求</w:t>
            </w:r>
          </w:p>
        </w:tc>
        <w:tc>
          <w:tcPr>
            <w:tcW w:w="4065" w:type="dxa"/>
            <w:vAlign w:val="center"/>
          </w:tcPr>
          <w:p>
            <w:pPr>
              <w:jc w:val="left"/>
              <w:rPr>
                <w:rFonts w:hint="eastAsia" w:ascii="宋体" w:hAnsi="宋体" w:eastAsia="宋体" w:cs="宋体"/>
                <w:color w:val="auto"/>
                <w:vertAlign w:val="baseline"/>
              </w:rPr>
            </w:pPr>
            <w:r>
              <w:rPr>
                <w:rFonts w:hint="eastAsia" w:ascii="宋体" w:hAnsi="宋体" w:eastAsia="宋体" w:cs="宋体"/>
                <w:color w:val="auto"/>
                <w:sz w:val="24"/>
              </w:rPr>
              <w:t>提供资料弄虚作假的，每次扣20分</w:t>
            </w:r>
            <w:r>
              <w:rPr>
                <w:rFonts w:hint="eastAsia" w:ascii="宋体" w:hAnsi="宋体" w:eastAsia="宋体" w:cs="宋体"/>
                <w:color w:val="auto"/>
                <w:sz w:val="24"/>
                <w:lang w:eastAsia="zh-CN"/>
              </w:rPr>
              <w:t>；</w:t>
            </w:r>
            <w:r>
              <w:rPr>
                <w:rFonts w:hint="eastAsia" w:ascii="宋体" w:hAnsi="宋体" w:eastAsia="宋体" w:cs="宋体"/>
                <w:color w:val="auto"/>
                <w:sz w:val="24"/>
              </w:rPr>
              <w:t>向采购人工作人员进行物质、金钱、有价证券等行贿，一经核实每人次扣20分。</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eastAsia" w:ascii="宋体" w:hAnsi="宋体" w:eastAsia="宋体" w:cs="宋体"/>
                <w:color w:val="auto"/>
                <w:vertAlign w:val="baseline"/>
              </w:rPr>
            </w:pPr>
          </w:p>
        </w:tc>
        <w:tc>
          <w:tcPr>
            <w:tcW w:w="4065" w:type="dxa"/>
            <w:vAlign w:val="center"/>
          </w:tcPr>
          <w:p>
            <w:pPr>
              <w:jc w:val="left"/>
              <w:rPr>
                <w:rFonts w:hint="eastAsia" w:ascii="宋体" w:hAnsi="宋体" w:eastAsia="宋体" w:cs="宋体"/>
                <w:color w:val="auto"/>
                <w:vertAlign w:val="baseline"/>
              </w:rPr>
            </w:pPr>
            <w:r>
              <w:rPr>
                <w:rFonts w:hint="eastAsia" w:ascii="宋体" w:hAnsi="宋体" w:eastAsia="宋体" w:cs="宋体"/>
                <w:color w:val="auto"/>
                <w:sz w:val="24"/>
              </w:rPr>
              <w:t>中标人工作人员不遵守采购人各项管理规定或泄露采购人内部情况的，每次扣20。</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sz w:val="24"/>
              </w:rPr>
              <w:t>承诺兑现</w:t>
            </w:r>
          </w:p>
        </w:tc>
        <w:tc>
          <w:tcPr>
            <w:tcW w:w="4065" w:type="dxa"/>
            <w:vAlign w:val="center"/>
          </w:tcPr>
          <w:p>
            <w:pPr>
              <w:pStyle w:val="16"/>
              <w:adjustRightInd w:val="0"/>
              <w:snapToGrid w:val="0"/>
              <w:jc w:val="left"/>
              <w:rPr>
                <w:rFonts w:hint="eastAsia" w:ascii="宋体" w:hAnsi="宋体" w:eastAsia="宋体" w:cs="宋体"/>
                <w:color w:val="auto"/>
                <w:vertAlign w:val="baseline"/>
              </w:rPr>
            </w:pPr>
            <w:r>
              <w:rPr>
                <w:rFonts w:hint="eastAsia" w:ascii="宋体" w:hAnsi="宋体" w:eastAsia="宋体" w:cs="宋体"/>
                <w:color w:val="auto"/>
                <w:sz w:val="24"/>
                <w:shd w:val="clear" w:color="auto" w:fill="FFFFFF"/>
              </w:rPr>
              <w:t>对中标人的服务承诺内容进行对照打分，每违反一项（次）扣10分，累计扣分达到30分必须说明情况并进行整改。</w:t>
            </w: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8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sz w:val="24"/>
              </w:rPr>
              <w:t>考评得分</w:t>
            </w:r>
          </w:p>
        </w:tc>
        <w:tc>
          <w:tcPr>
            <w:tcW w:w="4065" w:type="dxa"/>
            <w:vAlign w:val="center"/>
          </w:tcPr>
          <w:p>
            <w:pPr>
              <w:jc w:val="center"/>
              <w:rPr>
                <w:rFonts w:hint="eastAsia" w:ascii="宋体" w:hAnsi="宋体" w:eastAsia="宋体" w:cs="宋体"/>
                <w:color w:val="auto"/>
                <w:vertAlign w:val="baseline"/>
              </w:rPr>
            </w:pP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8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sz w:val="24"/>
              </w:rPr>
              <w:t>双方签名</w:t>
            </w:r>
          </w:p>
        </w:tc>
        <w:tc>
          <w:tcPr>
            <w:tcW w:w="4065" w:type="dxa"/>
            <w:vAlign w:val="center"/>
          </w:tcPr>
          <w:p>
            <w:pPr>
              <w:jc w:val="center"/>
              <w:rPr>
                <w:rFonts w:hint="eastAsia" w:ascii="宋体" w:hAnsi="宋体" w:eastAsia="宋体" w:cs="宋体"/>
                <w:color w:val="auto"/>
                <w:vertAlign w:val="baseline"/>
              </w:rPr>
            </w:pPr>
          </w:p>
        </w:tc>
        <w:tc>
          <w:tcPr>
            <w:tcW w:w="2190" w:type="dxa"/>
            <w:vAlign w:val="center"/>
          </w:tcPr>
          <w:p>
            <w:pPr>
              <w:jc w:val="center"/>
              <w:rPr>
                <w:rFonts w:hint="eastAsia" w:ascii="宋体" w:hAnsi="宋体" w:eastAsia="宋体" w:cs="宋体"/>
                <w:color w:val="auto"/>
                <w:vertAlign w:val="baseline"/>
              </w:rPr>
            </w:pPr>
          </w:p>
        </w:tc>
        <w:tc>
          <w:tcPr>
            <w:tcW w:w="1087" w:type="dxa"/>
            <w:vAlign w:val="center"/>
          </w:tcPr>
          <w:p>
            <w:pPr>
              <w:jc w:val="center"/>
              <w:rPr>
                <w:rFonts w:hint="eastAsia" w:ascii="宋体" w:hAnsi="宋体" w:eastAsia="宋体" w:cs="宋体"/>
                <w:color w:val="auto"/>
                <w:vertAlign w:val="baseline"/>
              </w:rPr>
            </w:pPr>
          </w:p>
        </w:tc>
      </w:tr>
    </w:tbl>
    <w:p>
      <w:pPr>
        <w:jc w:val="center"/>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服务质量评定由采购人和中标人每天共同按照以上评分内容执行情况进行巡查，结合检查结果进行综合考评（有扣分项双方签字确认）。每三个月对考评进行综合汇总。服务质量评定的解释权归采购人，采购人也可根据实际情况对服务质量评定的内容进行调整，但要与中标人进行协商。</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具体考评标准如下：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（1）当单次考核扣分100分，采购人有权全额扣除履约保证金作为违约金及取消中标人供货资格。情况严重的将依法追究相应法律责任，同时无条件解除合同</w:t>
      </w:r>
      <w:r>
        <w:rPr>
          <w:rFonts w:hint="eastAsia" w:ascii="宋体" w:hAnsi="宋体" w:eastAsia="宋体" w:cs="宋体"/>
          <w:bCs/>
          <w:color w:val="auto"/>
          <w:sz w:val="24"/>
          <w:szCs w:val="24"/>
        </w:rPr>
        <w:t>（当扣分累计达到100分采购人有权单方面停止合同，无需等到季度考核）</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（2）当单次考核得分70分以下（不包括70分）的，采购人有权扣除履约保证金的20%并要求中标人限期整改。经整改仍未达到要求的，采购人有权提前无条件终止合同。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（3）如连续两次考核得分70分以下（不包括70分）的，采购人有权扣除全部履约保证金并提前无条件终止合同。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（4）当单次考核得分60分以下（不包括60分），采购人有权扣除全部履约保证金并取消中标人供货资格。情况严重的将依法追究相应法律责任，同时无条件解除合同</w:t>
      </w:r>
      <w:r>
        <w:rPr>
          <w:rFonts w:hint="eastAsia" w:ascii="宋体" w:hAnsi="宋体" w:eastAsia="宋体" w:cs="宋体"/>
          <w:bCs/>
          <w:color w:val="auto"/>
          <w:sz w:val="24"/>
          <w:szCs w:val="24"/>
        </w:rPr>
        <w:t>（当扣分累计达到45分采购人有权单方面停止合同，无需等到季度考核）</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（5）一票否决项：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A.严格食品入货流程，严防各种因食品原因导致食物中毒等事故的发生。出现就餐者反映有腹泻、呕吐、出虚汗等现象视为食物中毒，一经核查是因中标人供货的食品质量不符合要求导致的，中标人需承担就餐者及采购人的全部经济损失，当次扣分100分，采购人有权没收履约保证金及取消中标人供货资格。情况严重的将依法追究相应法律责任，同时无条件解除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B.中标人应承担由此造成的全部法律责任及经济损失赔偿（主要包括但不限于食物中毒人员医疗费、误工费、事故处理费等）。因供货质量问题引发食品安全事故的，采购人有权取消中标人供货</w:t>
      </w:r>
      <w:bookmarkStart w:id="0" w:name="_GoBack"/>
      <w:bookmarkEnd w:id="0"/>
      <w:r>
        <w:rPr>
          <w:rFonts w:hint="eastAsia" w:ascii="宋体" w:hAnsi="宋体" w:eastAsia="宋体" w:cs="宋体"/>
          <w:color w:val="auto"/>
          <w:sz w:val="24"/>
          <w:szCs w:val="24"/>
        </w:rPr>
        <w:t>资格和无条件解除供货合同。</w:t>
      </w:r>
    </w:p>
    <w:sectPr>
      <w:footerReference r:id="rId3" w:type="default"/>
      <w:pgSz w:w="11906" w:h="16838"/>
      <w:pgMar w:top="1417" w:right="1800" w:bottom="1417"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55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multilevel"/>
    <w:tmpl w:val="0000001B"/>
    <w:lvl w:ilvl="0" w:tentative="0">
      <w:start w:val="4"/>
      <w:numFmt w:val="decimal"/>
      <w:lvlText w:val="%1"/>
      <w:lvlJc w:val="left"/>
      <w:pPr>
        <w:ind w:left="360" w:hanging="360"/>
      </w:pPr>
      <w:rPr>
        <w:rFonts w:hint="default"/>
      </w:rPr>
    </w:lvl>
    <w:lvl w:ilvl="1" w:tentative="0">
      <w:start w:val="1"/>
      <w:numFmt w:val="decimal"/>
      <w:lvlText w:val="%2."/>
      <w:lvlJc w:val="left"/>
      <w:pPr>
        <w:ind w:left="360" w:hanging="360"/>
      </w:pPr>
      <w:rPr>
        <w:rFonts w:hint="default"/>
        <w:b w:val="0"/>
        <w:strike w:val="0"/>
      </w:rPr>
    </w:lvl>
    <w:lvl w:ilvl="2" w:tentative="0">
      <w:start w:val="1"/>
      <w:numFmt w:val="decimal"/>
      <w:lvlText w:val="%1.%2.%3"/>
      <w:lvlJc w:val="left"/>
      <w:pPr>
        <w:ind w:left="1560" w:hanging="72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540" w:hanging="144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740" w:hanging="1800"/>
      </w:pPr>
      <w:rPr>
        <w:rFonts w:hint="default"/>
      </w:rPr>
    </w:lvl>
    <w:lvl w:ilvl="8" w:tentative="0">
      <w:start w:val="1"/>
      <w:numFmt w:val="decimal"/>
      <w:lvlText w:val="%1.%2.%3.%4.%5.%6.%7.%8.%9"/>
      <w:lvlJc w:val="left"/>
      <w:pPr>
        <w:ind w:left="5160" w:hanging="1800"/>
      </w:pPr>
      <w:rPr>
        <w:rFonts w:hint="default"/>
      </w:rPr>
    </w:lvl>
  </w:abstractNum>
  <w:abstractNum w:abstractNumId="1">
    <w:nsid w:val="424BB398"/>
    <w:multiLevelType w:val="singleLevel"/>
    <w:tmpl w:val="424BB398"/>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YWMxYjAwYzU0ZWM4ZWY0ODMzZTUyMDk1M2JkODgifQ=="/>
  </w:docVars>
  <w:rsids>
    <w:rsidRoot w:val="00000000"/>
    <w:rsid w:val="01505F15"/>
    <w:rsid w:val="04B80FCA"/>
    <w:rsid w:val="07853BC4"/>
    <w:rsid w:val="07E72487"/>
    <w:rsid w:val="07F671DB"/>
    <w:rsid w:val="09A84B40"/>
    <w:rsid w:val="0D8E62BD"/>
    <w:rsid w:val="0E466B19"/>
    <w:rsid w:val="13897F0C"/>
    <w:rsid w:val="159B191A"/>
    <w:rsid w:val="18AC2B85"/>
    <w:rsid w:val="1C8C02F2"/>
    <w:rsid w:val="1D1C78C7"/>
    <w:rsid w:val="1F0C1276"/>
    <w:rsid w:val="201553FA"/>
    <w:rsid w:val="208E66B3"/>
    <w:rsid w:val="265A2427"/>
    <w:rsid w:val="27BA2577"/>
    <w:rsid w:val="27CE17BE"/>
    <w:rsid w:val="2B2922DC"/>
    <w:rsid w:val="2BDB26FC"/>
    <w:rsid w:val="321101F9"/>
    <w:rsid w:val="332661EB"/>
    <w:rsid w:val="35174B16"/>
    <w:rsid w:val="3690677B"/>
    <w:rsid w:val="36F26B24"/>
    <w:rsid w:val="37CA5818"/>
    <w:rsid w:val="3AD016F4"/>
    <w:rsid w:val="3F7B4ACC"/>
    <w:rsid w:val="40267355"/>
    <w:rsid w:val="44743E8F"/>
    <w:rsid w:val="4C555158"/>
    <w:rsid w:val="4DA16EA9"/>
    <w:rsid w:val="51F76269"/>
    <w:rsid w:val="53530C46"/>
    <w:rsid w:val="55143930"/>
    <w:rsid w:val="57E36310"/>
    <w:rsid w:val="57EC78BB"/>
    <w:rsid w:val="58D024FB"/>
    <w:rsid w:val="58DE4B33"/>
    <w:rsid w:val="60804B45"/>
    <w:rsid w:val="60870181"/>
    <w:rsid w:val="650B318E"/>
    <w:rsid w:val="668B1666"/>
    <w:rsid w:val="6AFC2260"/>
    <w:rsid w:val="6C611C7C"/>
    <w:rsid w:val="6CB83F99"/>
    <w:rsid w:val="6EF32E85"/>
    <w:rsid w:val="702F3B7B"/>
    <w:rsid w:val="73927111"/>
    <w:rsid w:val="76377B1A"/>
    <w:rsid w:val="76D73E80"/>
    <w:rsid w:val="776648CE"/>
    <w:rsid w:val="77D9107C"/>
    <w:rsid w:val="7A5A0D22"/>
    <w:rsid w:val="7C2A135B"/>
    <w:rsid w:val="7CF6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toc 4"/>
    <w:basedOn w:val="1"/>
    <w:next w:val="1"/>
    <w:qFormat/>
    <w:uiPriority w:val="39"/>
    <w:pPr>
      <w:ind w:left="1260" w:leftChars="600"/>
    </w:pPr>
  </w:style>
  <w:style w:type="paragraph" w:styleId="6">
    <w:name w:val="annotation text"/>
    <w:basedOn w:val="1"/>
    <w:next w:val="7"/>
    <w:qFormat/>
    <w:uiPriority w:val="0"/>
    <w:pPr>
      <w:jc w:val="left"/>
    </w:pPr>
  </w:style>
  <w:style w:type="paragraph" w:styleId="7">
    <w:name w:val="toc 5"/>
    <w:basedOn w:val="1"/>
    <w:next w:val="1"/>
    <w:qFormat/>
    <w:uiPriority w:val="0"/>
    <w:pPr>
      <w:wordWrap w:val="0"/>
      <w:ind w:left="1275"/>
      <w:jc w:val="both"/>
    </w:pPr>
    <w:rPr>
      <w:rFonts w:ascii="Calibri" w:hAnsi="Calibri" w:eastAsia="宋体" w:cs="Times New Roman"/>
      <w:lang w:val="en-US" w:eastAsia="zh-CN" w:bidi="ar-SA"/>
    </w:rPr>
  </w:style>
  <w:style w:type="paragraph" w:styleId="8">
    <w:name w:val="Body Text"/>
    <w:basedOn w:val="1"/>
    <w:semiHidden/>
    <w:unhideWhenUsed/>
    <w:qFormat/>
    <w:uiPriority w:val="99"/>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Plain Text"/>
    <w:basedOn w:val="1"/>
    <w:qFormat/>
    <w:uiPriority w:val="0"/>
    <w:rPr>
      <w:rFonts w:ascii="宋体" w:hAnsi="Courier New" w:cs="Courier New"/>
      <w:szCs w:val="21"/>
    </w:rPr>
  </w:style>
  <w:style w:type="paragraph" w:customStyle="1" w:styleId="16">
    <w:name w:val="_Style 3"/>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17">
    <w:name w:val="正文正"/>
    <w:basedOn w:val="1"/>
    <w:qFormat/>
    <w:uiPriority w:val="0"/>
    <w:pPr>
      <w:spacing w:line="560" w:lineRule="exact"/>
      <w:ind w:firstLine="561"/>
    </w:pPr>
    <w:rPr>
      <w:rFonts w:ascii="Calibri" w:hAnsi="Calibri"/>
      <w:sz w:val="28"/>
      <w:szCs w:val="28"/>
    </w:rPr>
  </w:style>
  <w:style w:type="paragraph" w:customStyle="1" w:styleId="18">
    <w:name w:val="德山-正文"/>
    <w:basedOn w:val="1"/>
    <w:qFormat/>
    <w:uiPriority w:val="0"/>
    <w:pPr>
      <w:widowControl w:val="0"/>
      <w:spacing w:before="156" w:beforeLines="50" w:after="156" w:afterLines="50"/>
      <w:ind w:firstLine="200" w:firstLineChars="200"/>
      <w:jc w:val="both"/>
    </w:pPr>
    <w:rPr>
      <w:rFonts w:ascii="Calibri" w:hAnsi="Calibri"/>
      <w:kern w:val="2"/>
      <w:szCs w:val="21"/>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13380</Words>
  <Characters>14527</Characters>
  <Lines>0</Lines>
  <Paragraphs>0</Paragraphs>
  <TotalTime>1</TotalTime>
  <ScaleCrop>false</ScaleCrop>
  <LinksUpToDate>false</LinksUpToDate>
  <CharactersWithSpaces>14593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2023-08-07T02:28:00Z</dcterms:created>
  <dc:creator>梁</dc:creator>
  <cp:lastModifiedBy>作者</cp:lastModifiedBy>
  <dcterms:modified xsi:type="dcterms:W3CDTF">2023-08-10T09:03:37Z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2EC674C43BDD4B2AA0C0964B03160C16_13</vt:lpwstr>
  </property>
</Properties>
</file>